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A1B7" w14:textId="3C7CE831" w:rsidR="002847E2" w:rsidRPr="00A902DA" w:rsidRDefault="00A902DA" w:rsidP="00A902DA">
      <w:pPr>
        <w:pStyle w:val="FAPPIntroPara"/>
        <w:ind w:left="0"/>
        <w:jc w:val="center"/>
        <w:rPr>
          <w:rFonts w:ascii="Arial" w:eastAsia="Calibri" w:hAnsi="Arial" w:cs="Arial"/>
          <w:b/>
          <w:bCs/>
          <w:sz w:val="28"/>
          <w:szCs w:val="28"/>
          <w:lang w:val="en-CA"/>
        </w:rPr>
      </w:pPr>
      <w:r w:rsidRPr="00A902DA">
        <w:rPr>
          <w:rFonts w:ascii="Arial" w:eastAsia="Calibri" w:hAnsi="Arial" w:cs="Arial"/>
          <w:b/>
          <w:bCs/>
          <w:sz w:val="28"/>
          <w:szCs w:val="28"/>
          <w:lang w:val="en-CA"/>
        </w:rPr>
        <w:t>Disconnecting from Work Checklist</w:t>
      </w:r>
    </w:p>
    <w:p w14:paraId="6D10E70E" w14:textId="77777777" w:rsidR="00A902DA" w:rsidRDefault="00A902DA" w:rsidP="00A902DA">
      <w:pPr>
        <w:pStyle w:val="FAPPIntroPara"/>
        <w:ind w:left="0"/>
        <w:jc w:val="center"/>
        <w:rPr>
          <w:rFonts w:ascii="Arial" w:hAnsi="Arial" w:cs="Arial"/>
        </w:rPr>
      </w:pPr>
    </w:p>
    <w:p w14:paraId="6A44EB49" w14:textId="096C8D12" w:rsidR="00455475" w:rsidRDefault="00253945" w:rsidP="002847E2">
      <w:pPr>
        <w:pStyle w:val="FAPPIntroPara"/>
        <w:ind w:left="0"/>
        <w:rPr>
          <w:rFonts w:ascii="Arial" w:hAnsi="Arial" w:cs="Arial"/>
        </w:rPr>
      </w:pPr>
      <w:r w:rsidRPr="002847E2">
        <w:rPr>
          <w:rFonts w:ascii="Arial" w:hAnsi="Arial" w:cs="Arial"/>
        </w:rPr>
        <w:t>This checklist covers the basic requirements of the disconnecting from work policy</w:t>
      </w:r>
      <w:r w:rsidR="002847E2" w:rsidRPr="002847E2">
        <w:rPr>
          <w:rFonts w:ascii="Arial" w:hAnsi="Arial" w:cs="Arial"/>
        </w:rPr>
        <w:t xml:space="preserve">, including the following: </w:t>
      </w:r>
    </w:p>
    <w:p w14:paraId="5253A53C" w14:textId="77777777" w:rsidR="002847E2" w:rsidRPr="007B6B5C" w:rsidRDefault="002847E2" w:rsidP="00455475">
      <w:pPr>
        <w:rPr>
          <w:rFonts w:ascii="Arial" w:hAnsi="Arial" w:cs="Arial"/>
          <w:sz w:val="24"/>
          <w:szCs w:val="24"/>
        </w:rPr>
      </w:pPr>
    </w:p>
    <w:p w14:paraId="1F1D624B" w14:textId="7EDB27CD" w:rsidR="007B6B5C" w:rsidRPr="00AF18A2" w:rsidRDefault="00455475" w:rsidP="00AF18A2">
      <w:pPr>
        <w:pStyle w:val="TOC1"/>
        <w:ind w:left="0"/>
        <w:rPr>
          <w:rFonts w:ascii="Arial" w:eastAsiaTheme="minorEastAsia" w:hAnsi="Arial" w:cs="Arial"/>
          <w:b/>
          <w:noProof/>
          <w:sz w:val="24"/>
          <w:szCs w:val="24"/>
          <w:lang w:val="en-CA" w:eastAsia="en-CA"/>
        </w:rPr>
      </w:pPr>
      <w:r w:rsidRPr="00AF18A2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AF18A2">
        <w:rPr>
          <w:rFonts w:ascii="Arial" w:hAnsi="Arial" w:cs="Arial"/>
          <w:b/>
          <w:sz w:val="24"/>
          <w:szCs w:val="24"/>
          <w:lang w:val="en-US"/>
        </w:rPr>
        <w:instrText xml:space="preserve"> TOC \o "1-3" \n \h \z \u </w:instrText>
      </w:r>
      <w:r w:rsidRPr="00AF18A2">
        <w:rPr>
          <w:rFonts w:ascii="Arial" w:hAnsi="Arial" w:cs="Arial"/>
          <w:b/>
          <w:sz w:val="24"/>
          <w:szCs w:val="24"/>
          <w:lang w:val="en-US"/>
        </w:rPr>
        <w:fldChar w:fldCharType="separate"/>
      </w:r>
      <w:hyperlink w:anchor="_Toc97611784" w:history="1">
        <w:r w:rsidR="007B6B5C" w:rsidRPr="00AF18A2">
          <w:rPr>
            <w:rStyle w:val="Hyperlink"/>
            <w:rFonts w:ascii="Arial" w:hAnsi="Arial" w:cs="Arial"/>
            <w:b/>
            <w:noProof/>
            <w:sz w:val="24"/>
            <w:szCs w:val="24"/>
            <w:lang w:val="en-CA"/>
          </w:rPr>
          <w:t>The Requirement to Have a Policy</w:t>
        </w:r>
      </w:hyperlink>
    </w:p>
    <w:p w14:paraId="4550AB64" w14:textId="76D34E8E" w:rsidR="007B6B5C" w:rsidRPr="00AF18A2" w:rsidRDefault="00256356" w:rsidP="00AF18A2">
      <w:pPr>
        <w:pStyle w:val="TOC1"/>
        <w:ind w:left="0"/>
        <w:rPr>
          <w:rFonts w:ascii="Arial" w:eastAsiaTheme="minorEastAsia" w:hAnsi="Arial" w:cs="Arial"/>
          <w:b/>
          <w:noProof/>
          <w:sz w:val="24"/>
          <w:szCs w:val="24"/>
          <w:lang w:val="en-CA" w:eastAsia="en-CA"/>
        </w:rPr>
      </w:pPr>
      <w:hyperlink w:anchor="_Toc97611785" w:history="1">
        <w:r w:rsidR="007B6B5C" w:rsidRPr="00AF18A2">
          <w:rPr>
            <w:rStyle w:val="Hyperlink"/>
            <w:rFonts w:ascii="Arial" w:hAnsi="Arial" w:cs="Arial"/>
            <w:b/>
            <w:noProof/>
            <w:sz w:val="24"/>
            <w:szCs w:val="24"/>
            <w:lang w:val="en-CA"/>
          </w:rPr>
          <w:t>Policy Scope and Content</w:t>
        </w:r>
      </w:hyperlink>
    </w:p>
    <w:p w14:paraId="42CBF47E" w14:textId="0873E511" w:rsidR="007B6B5C" w:rsidRPr="00AF18A2" w:rsidRDefault="00256356" w:rsidP="00AF18A2">
      <w:pPr>
        <w:pStyle w:val="TOC1"/>
        <w:ind w:left="0"/>
        <w:rPr>
          <w:rFonts w:ascii="Arial" w:eastAsiaTheme="minorEastAsia" w:hAnsi="Arial" w:cs="Arial"/>
          <w:b/>
          <w:noProof/>
          <w:sz w:val="24"/>
          <w:szCs w:val="24"/>
          <w:lang w:val="en-CA" w:eastAsia="en-CA"/>
        </w:rPr>
      </w:pPr>
      <w:hyperlink w:anchor="_Toc97611786" w:history="1">
        <w:r w:rsidR="007B6B5C" w:rsidRPr="00AF18A2">
          <w:rPr>
            <w:rStyle w:val="Hyperlink"/>
            <w:rFonts w:ascii="Arial" w:hAnsi="Arial" w:cs="Arial"/>
            <w:b/>
            <w:noProof/>
            <w:sz w:val="24"/>
            <w:szCs w:val="24"/>
            <w:lang w:val="en-CA"/>
          </w:rPr>
          <w:t>Changes to the Policy</w:t>
        </w:r>
      </w:hyperlink>
    </w:p>
    <w:p w14:paraId="256F6575" w14:textId="40E8AA8A" w:rsidR="007B6B5C" w:rsidRPr="00AF18A2" w:rsidRDefault="00256356" w:rsidP="00AF18A2">
      <w:pPr>
        <w:pStyle w:val="TOC1"/>
        <w:ind w:left="0"/>
        <w:rPr>
          <w:rFonts w:ascii="Arial" w:eastAsiaTheme="minorEastAsia" w:hAnsi="Arial" w:cs="Arial"/>
          <w:b/>
          <w:noProof/>
          <w:sz w:val="24"/>
          <w:szCs w:val="24"/>
          <w:lang w:val="en-CA" w:eastAsia="en-CA"/>
        </w:rPr>
      </w:pPr>
      <w:hyperlink w:anchor="_Toc97611787" w:history="1">
        <w:r w:rsidR="007B6B5C" w:rsidRPr="00AF18A2">
          <w:rPr>
            <w:rStyle w:val="Hyperlink"/>
            <w:rFonts w:ascii="Arial" w:hAnsi="Arial" w:cs="Arial"/>
            <w:b/>
            <w:noProof/>
            <w:sz w:val="24"/>
            <w:szCs w:val="24"/>
            <w:lang w:val="en-CA"/>
          </w:rPr>
          <w:t>Withdrawal or Retention of the Policy</w:t>
        </w:r>
      </w:hyperlink>
    </w:p>
    <w:p w14:paraId="3D94119F" w14:textId="0188936B" w:rsidR="007B6B5C" w:rsidRPr="00AF18A2" w:rsidRDefault="00256356" w:rsidP="00AF18A2">
      <w:pPr>
        <w:pStyle w:val="TOC1"/>
        <w:ind w:left="0"/>
        <w:rPr>
          <w:rFonts w:ascii="Arial" w:eastAsiaTheme="minorEastAsia" w:hAnsi="Arial" w:cs="Arial"/>
          <w:b/>
          <w:noProof/>
          <w:sz w:val="24"/>
          <w:szCs w:val="24"/>
          <w:lang w:val="en-CA" w:eastAsia="en-CA"/>
        </w:rPr>
      </w:pPr>
      <w:hyperlink w:anchor="_Toc97611788" w:history="1">
        <w:r w:rsidR="007B6B5C" w:rsidRPr="00AF18A2">
          <w:rPr>
            <w:rStyle w:val="Hyperlink"/>
            <w:rFonts w:ascii="Arial" w:hAnsi="Arial" w:cs="Arial"/>
            <w:b/>
            <w:noProof/>
            <w:sz w:val="24"/>
            <w:szCs w:val="24"/>
            <w:lang w:val="en-CA"/>
          </w:rPr>
          <w:t>Document Retention</w:t>
        </w:r>
      </w:hyperlink>
    </w:p>
    <w:p w14:paraId="59C70B5B" w14:textId="7474CB9D" w:rsidR="00455475" w:rsidRPr="006A4972" w:rsidRDefault="00455475" w:rsidP="00AF18A2">
      <w:pPr>
        <w:rPr>
          <w:rFonts w:ascii="Arial" w:hAnsi="Arial" w:cs="Arial"/>
        </w:rPr>
      </w:pPr>
      <w:r w:rsidRPr="00AF18A2">
        <w:rPr>
          <w:rFonts w:ascii="Arial" w:hAnsi="Arial" w:cs="Arial"/>
          <w:b/>
          <w:sz w:val="24"/>
          <w:szCs w:val="24"/>
        </w:rPr>
        <w:fldChar w:fldCharType="end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657"/>
        <w:gridCol w:w="236"/>
        <w:gridCol w:w="7891"/>
        <w:gridCol w:w="1134"/>
      </w:tblGrid>
      <w:tr w:rsidR="00455475" w:rsidRPr="00AF18A2" w14:paraId="02F3F317" w14:textId="77777777" w:rsidTr="00AF18A2">
        <w:trPr>
          <w:cantSplit/>
          <w:tblHeader/>
        </w:trPr>
        <w:tc>
          <w:tcPr>
            <w:tcW w:w="657" w:type="dxa"/>
            <w:shd w:val="clear" w:color="auto" w:fill="BFBFBF" w:themeFill="background1" w:themeFillShade="BF"/>
            <w:vAlign w:val="center"/>
          </w:tcPr>
          <w:p w14:paraId="440B76BA" w14:textId="77777777" w:rsidR="00455475" w:rsidRPr="00AF18A2" w:rsidRDefault="00455475" w:rsidP="00AF18A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18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8127" w:type="dxa"/>
            <w:gridSpan w:val="2"/>
            <w:shd w:val="clear" w:color="auto" w:fill="BFBFBF" w:themeFill="background1" w:themeFillShade="BF"/>
            <w:vAlign w:val="center"/>
          </w:tcPr>
          <w:p w14:paraId="72F11800" w14:textId="1EE46D0E" w:rsidR="00455475" w:rsidRPr="00AF18A2" w:rsidRDefault="00455475" w:rsidP="00AF18A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18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632B91A" w14:textId="77777777" w:rsidR="00455475" w:rsidRPr="00AF18A2" w:rsidRDefault="00455475" w:rsidP="00AF18A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18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Yes/No</w:t>
            </w:r>
          </w:p>
        </w:tc>
      </w:tr>
      <w:tr w:rsidR="00455475" w:rsidRPr="00AF18A2" w14:paraId="4FCD1FB0" w14:textId="77777777" w:rsidTr="00AF18A2">
        <w:trPr>
          <w:cantSplit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0B301CCA" w14:textId="426CE887" w:rsidR="00455475" w:rsidRPr="00AF18A2" w:rsidRDefault="00455475" w:rsidP="00AF18A2">
            <w:pPr>
              <w:pStyle w:val="Heading1"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  <w:bookmarkStart w:id="0" w:name="_Toc97611784"/>
            <w:r w:rsidRPr="00AF18A2">
              <w:rPr>
                <w:rFonts w:eastAsia="Calibri"/>
                <w:sz w:val="24"/>
                <w:szCs w:val="24"/>
                <w:lang w:val="en-CA"/>
              </w:rPr>
              <w:t>The Requirement to Have a Policy</w:t>
            </w:r>
            <w:bookmarkEnd w:id="0"/>
            <w:r w:rsidRPr="00AF18A2">
              <w:rPr>
                <w:rFonts w:eastAsia="Calibri"/>
                <w:sz w:val="24"/>
                <w:szCs w:val="24"/>
                <w:lang w:val="en-CA"/>
              </w:rPr>
              <w:t xml:space="preserve"> </w:t>
            </w:r>
          </w:p>
        </w:tc>
      </w:tr>
      <w:tr w:rsidR="008769C7" w:rsidRPr="00AF18A2" w14:paraId="2D982E0B" w14:textId="77777777" w:rsidTr="00AF18A2">
        <w:trPr>
          <w:cantSplit/>
        </w:trPr>
        <w:tc>
          <w:tcPr>
            <w:tcW w:w="657" w:type="dxa"/>
            <w:shd w:val="clear" w:color="auto" w:fill="auto"/>
            <w:vAlign w:val="center"/>
          </w:tcPr>
          <w:p w14:paraId="3E9BA11E" w14:textId="77777777" w:rsidR="008769C7" w:rsidRPr="00AF18A2" w:rsidRDefault="008769C7" w:rsidP="00AF18A2">
            <w:pPr>
              <w:pStyle w:val="ListParagraph"/>
              <w:numPr>
                <w:ilvl w:val="0"/>
                <w:numId w:val="1"/>
              </w:num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380E0D3" w14:textId="77777777" w:rsidR="008769C7" w:rsidRPr="00AF18A2" w:rsidRDefault="008769C7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04763180" w14:textId="3DA7AF6C" w:rsidR="008769C7" w:rsidRPr="00AF18A2" w:rsidRDefault="008769C7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Ha</w:t>
            </w:r>
            <w:r w:rsidR="00D75ACA" w:rsidRPr="00AF18A2">
              <w:rPr>
                <w:rFonts w:ascii="Arial" w:hAnsi="Arial" w:cs="Arial"/>
                <w:lang w:val="en-CA"/>
              </w:rPr>
              <w:t xml:space="preserve">ve you </w:t>
            </w:r>
            <w:r w:rsidRPr="00AF18A2">
              <w:rPr>
                <w:rFonts w:ascii="Arial" w:hAnsi="Arial" w:cs="Arial"/>
                <w:lang w:val="en-CA"/>
              </w:rPr>
              <w:t>assessed employee headcount as of January 1, 2022?</w:t>
            </w:r>
          </w:p>
          <w:p w14:paraId="4555B7D1" w14:textId="77777777" w:rsidR="008769C7" w:rsidRPr="00AF18A2" w:rsidRDefault="008769C7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</w:p>
          <w:p w14:paraId="323DF231" w14:textId="57C1D6FD" w:rsidR="008769C7" w:rsidRPr="00AF18A2" w:rsidRDefault="008769C7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 xml:space="preserve">A </w:t>
            </w:r>
            <w:r w:rsidR="0011413C" w:rsidRPr="00AF18A2">
              <w:rPr>
                <w:rFonts w:ascii="Arial" w:hAnsi="Arial" w:cs="Arial"/>
                <w:lang w:val="en-CA"/>
              </w:rPr>
              <w:t>“N</w:t>
            </w:r>
            <w:r w:rsidRPr="00AF18A2">
              <w:rPr>
                <w:rFonts w:ascii="Arial" w:hAnsi="Arial" w:cs="Arial"/>
                <w:lang w:val="en-CA"/>
              </w:rPr>
              <w:t>o</w:t>
            </w:r>
            <w:r w:rsidR="0011413C" w:rsidRPr="00AF18A2">
              <w:rPr>
                <w:rFonts w:ascii="Arial" w:hAnsi="Arial" w:cs="Arial"/>
                <w:lang w:val="en-CA"/>
              </w:rPr>
              <w:t>”</w:t>
            </w:r>
            <w:r w:rsidRPr="00AF18A2">
              <w:rPr>
                <w:rFonts w:ascii="Arial" w:hAnsi="Arial" w:cs="Arial"/>
                <w:lang w:val="en-CA"/>
              </w:rPr>
              <w:t xml:space="preserve"> answer means </w:t>
            </w:r>
            <w:r w:rsidR="00D75ACA" w:rsidRPr="00AF18A2">
              <w:rPr>
                <w:rFonts w:ascii="Arial" w:hAnsi="Arial" w:cs="Arial"/>
                <w:lang w:val="en-CA"/>
              </w:rPr>
              <w:t>non-compliance</w:t>
            </w:r>
            <w:r w:rsidRPr="00AF18A2">
              <w:rPr>
                <w:rFonts w:ascii="Arial" w:hAnsi="Arial" w:cs="Arial"/>
                <w:lang w:val="en-CA"/>
              </w:rPr>
              <w:t xml:space="preserve"> with the ESA requirement to assess employee headcount by January 1, 2022, to determine whether</w:t>
            </w:r>
            <w:r w:rsidR="009E40D2">
              <w:rPr>
                <w:rFonts w:ascii="Arial" w:hAnsi="Arial" w:cs="Arial"/>
                <w:lang w:val="en-CA"/>
              </w:rPr>
              <w:t xml:space="preserve"> or not</w:t>
            </w:r>
            <w:r w:rsidRPr="00AF18A2">
              <w:rPr>
                <w:rFonts w:ascii="Arial" w:hAnsi="Arial" w:cs="Arial"/>
                <w:lang w:val="en-CA"/>
              </w:rPr>
              <w:t xml:space="preserve"> </w:t>
            </w:r>
            <w:r w:rsidR="00D75ACA" w:rsidRPr="00AF18A2">
              <w:rPr>
                <w:rFonts w:ascii="Arial" w:hAnsi="Arial" w:cs="Arial"/>
                <w:lang w:val="en-CA"/>
              </w:rPr>
              <w:t>the organization n</w:t>
            </w:r>
            <w:r w:rsidRPr="00AF18A2">
              <w:rPr>
                <w:rFonts w:ascii="Arial" w:hAnsi="Arial" w:cs="Arial"/>
                <w:lang w:val="en-CA"/>
              </w:rPr>
              <w:t xml:space="preserve">eeds a disconnecting from work policy.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11F3D" w14:textId="77777777" w:rsidR="008769C7" w:rsidRPr="00AF18A2" w:rsidRDefault="008769C7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5475" w:rsidRPr="00AF18A2" w14:paraId="6E8856D0" w14:textId="77777777" w:rsidTr="00AF18A2">
        <w:trPr>
          <w:cantSplit/>
        </w:trPr>
        <w:tc>
          <w:tcPr>
            <w:tcW w:w="657" w:type="dxa"/>
            <w:shd w:val="clear" w:color="auto" w:fill="auto"/>
            <w:vAlign w:val="center"/>
          </w:tcPr>
          <w:p w14:paraId="0B458685" w14:textId="77777777" w:rsidR="00455475" w:rsidRPr="00AF18A2" w:rsidRDefault="00455475" w:rsidP="00AF18A2">
            <w:pPr>
              <w:pStyle w:val="ListParagraph"/>
              <w:numPr>
                <w:ilvl w:val="0"/>
                <w:numId w:val="1"/>
              </w:num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5465F28" w14:textId="77777777" w:rsidR="00455475" w:rsidRPr="00AF18A2" w:rsidRDefault="00455475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5C4DA614" w14:textId="474C33A6" w:rsidR="00D672D5" w:rsidRPr="00AF18A2" w:rsidRDefault="00D672D5" w:rsidP="00AF18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AF18A2">
              <w:rPr>
                <w:rFonts w:ascii="Arial" w:hAnsi="Arial" w:cs="Arial"/>
                <w:sz w:val="24"/>
                <w:szCs w:val="24"/>
                <w:lang w:val="en-CA"/>
              </w:rPr>
              <w:t>Do</w:t>
            </w:r>
            <w:r w:rsidR="007C07FD" w:rsidRPr="00AF18A2">
              <w:rPr>
                <w:rFonts w:ascii="Arial" w:hAnsi="Arial" w:cs="Arial"/>
                <w:sz w:val="24"/>
                <w:szCs w:val="24"/>
                <w:lang w:val="en-CA"/>
              </w:rPr>
              <w:t xml:space="preserve"> you </w:t>
            </w:r>
            <w:r w:rsidRPr="00AF18A2">
              <w:rPr>
                <w:rFonts w:ascii="Arial" w:hAnsi="Arial" w:cs="Arial"/>
                <w:sz w:val="24"/>
                <w:szCs w:val="24"/>
                <w:lang w:val="en-CA"/>
              </w:rPr>
              <w:t>employ 25 or more employees as of January 1, 2022?</w:t>
            </w:r>
          </w:p>
          <w:p w14:paraId="6694DF8E" w14:textId="77777777" w:rsidR="009E40D2" w:rsidRDefault="009E40D2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</w:p>
          <w:p w14:paraId="357017EC" w14:textId="3FF8A89A" w:rsidR="00D672D5" w:rsidRPr="00AF18A2" w:rsidRDefault="00D672D5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 xml:space="preserve">If yes, </w:t>
            </w:r>
            <w:r w:rsidR="00792862" w:rsidRPr="00AF18A2">
              <w:rPr>
                <w:rFonts w:ascii="Arial" w:hAnsi="Arial" w:cs="Arial"/>
                <w:lang w:val="en-CA"/>
              </w:rPr>
              <w:t xml:space="preserve">you need </w:t>
            </w:r>
            <w:r w:rsidRPr="00AF18A2">
              <w:rPr>
                <w:rFonts w:ascii="Arial" w:hAnsi="Arial" w:cs="Arial"/>
                <w:lang w:val="en-CA"/>
              </w:rPr>
              <w:t xml:space="preserve">a </w:t>
            </w:r>
            <w:r w:rsidR="00455475" w:rsidRPr="00AF18A2">
              <w:rPr>
                <w:rFonts w:ascii="Arial" w:hAnsi="Arial" w:cs="Arial"/>
                <w:lang w:val="en-CA"/>
              </w:rPr>
              <w:t xml:space="preserve">written disconnecting from work policy </w:t>
            </w:r>
            <w:r w:rsidRPr="00AF18A2">
              <w:rPr>
                <w:rFonts w:ascii="Arial" w:hAnsi="Arial" w:cs="Arial"/>
                <w:lang w:val="en-CA"/>
              </w:rPr>
              <w:t xml:space="preserve">in place </w:t>
            </w:r>
            <w:r w:rsidR="00455475" w:rsidRPr="00AF18A2">
              <w:rPr>
                <w:rFonts w:ascii="Arial" w:hAnsi="Arial" w:cs="Arial"/>
                <w:lang w:val="en-CA"/>
              </w:rPr>
              <w:t>by</w:t>
            </w:r>
            <w:r w:rsidR="00BE504C" w:rsidRPr="00AF18A2">
              <w:rPr>
                <w:rFonts w:ascii="Arial" w:hAnsi="Arial" w:cs="Arial"/>
                <w:lang w:val="en-CA"/>
              </w:rPr>
              <w:t xml:space="preserve"> June 2, 2022</w:t>
            </w:r>
            <w:r w:rsidR="007D1F43" w:rsidRPr="00AF18A2">
              <w:rPr>
                <w:rFonts w:ascii="Arial" w:hAnsi="Arial" w:cs="Arial"/>
                <w:lang w:val="en-CA"/>
              </w:rPr>
              <w:t xml:space="preserve">, and the rest of this </w:t>
            </w:r>
            <w:r w:rsidR="00A14FD7" w:rsidRPr="00AF18A2">
              <w:rPr>
                <w:rFonts w:ascii="Arial" w:hAnsi="Arial" w:cs="Arial"/>
                <w:lang w:val="en-CA"/>
              </w:rPr>
              <w:t xml:space="preserve">checklist will apply. </w:t>
            </w:r>
          </w:p>
          <w:p w14:paraId="0D1D0282" w14:textId="77777777" w:rsidR="00455475" w:rsidRPr="00AF18A2" w:rsidRDefault="00455475" w:rsidP="00AF18A2">
            <w:pPr>
              <w:pStyle w:val="FAPPIntroPara"/>
              <w:ind w:left="0"/>
              <w:rPr>
                <w:rFonts w:ascii="Arial" w:eastAsia="Calibri" w:hAnsi="Arial" w:cs="Arial"/>
              </w:rPr>
            </w:pPr>
          </w:p>
          <w:p w14:paraId="06D4BBBF" w14:textId="31093C71" w:rsidR="00A31851" w:rsidRPr="00AF18A2" w:rsidRDefault="002259FA" w:rsidP="00AF18A2">
            <w:pPr>
              <w:pStyle w:val="FAPPIntroPara"/>
              <w:ind w:left="0"/>
              <w:rPr>
                <w:rFonts w:ascii="Arial" w:eastAsia="Calibri" w:hAnsi="Arial" w:cs="Arial"/>
              </w:rPr>
            </w:pPr>
            <w:r w:rsidRPr="00AF18A2">
              <w:rPr>
                <w:rFonts w:ascii="Arial" w:eastAsia="Calibri" w:hAnsi="Arial" w:cs="Arial"/>
              </w:rPr>
              <w:t>If the answer to this question is “No</w:t>
            </w:r>
            <w:r w:rsidR="009E40D2">
              <w:rPr>
                <w:rFonts w:ascii="Arial" w:eastAsia="Calibri" w:hAnsi="Arial" w:cs="Arial"/>
              </w:rPr>
              <w:t>,</w:t>
            </w:r>
            <w:r w:rsidRPr="00AF18A2">
              <w:rPr>
                <w:rFonts w:ascii="Arial" w:eastAsia="Calibri" w:hAnsi="Arial" w:cs="Arial"/>
              </w:rPr>
              <w:t xml:space="preserve">” </w:t>
            </w:r>
            <w:r w:rsidR="00792862" w:rsidRPr="00AF18A2">
              <w:rPr>
                <w:rFonts w:ascii="Arial" w:eastAsia="Calibri" w:hAnsi="Arial" w:cs="Arial"/>
              </w:rPr>
              <w:t xml:space="preserve">you do </w:t>
            </w:r>
            <w:r w:rsidRPr="00AF18A2">
              <w:rPr>
                <w:rFonts w:ascii="Arial" w:eastAsia="Calibri" w:hAnsi="Arial" w:cs="Arial"/>
              </w:rPr>
              <w:t>not need a written disconnecting from work policy at this time</w:t>
            </w:r>
            <w:r w:rsidR="00A31851" w:rsidRPr="00AF18A2">
              <w:rPr>
                <w:rFonts w:ascii="Arial" w:eastAsia="Calibri" w:hAnsi="Arial" w:cs="Arial"/>
              </w:rPr>
              <w:t xml:space="preserve"> and do not need to complete </w:t>
            </w:r>
            <w:r w:rsidR="00107B99" w:rsidRPr="00AF18A2">
              <w:rPr>
                <w:rFonts w:ascii="Arial" w:eastAsia="Calibri" w:hAnsi="Arial" w:cs="Arial"/>
              </w:rPr>
              <w:t>the</w:t>
            </w:r>
            <w:r w:rsidR="00A31851" w:rsidRPr="00AF18A2">
              <w:rPr>
                <w:rFonts w:ascii="Arial" w:eastAsia="Calibri" w:hAnsi="Arial" w:cs="Arial"/>
              </w:rPr>
              <w:t xml:space="preserve"> rest of this checklist. </w:t>
            </w:r>
          </w:p>
          <w:p w14:paraId="0E01EF79" w14:textId="77777777" w:rsidR="00A31851" w:rsidRPr="00AF18A2" w:rsidRDefault="00A31851" w:rsidP="00AF18A2">
            <w:pPr>
              <w:pStyle w:val="FAPPIntroPara"/>
              <w:ind w:left="0"/>
              <w:rPr>
                <w:rFonts w:ascii="Arial" w:eastAsia="Calibri" w:hAnsi="Arial" w:cs="Arial"/>
              </w:rPr>
            </w:pPr>
          </w:p>
          <w:p w14:paraId="30C9DDD9" w14:textId="743757C7" w:rsidR="00795697" w:rsidRPr="00AF18A2" w:rsidRDefault="00A31851" w:rsidP="00AF18A2">
            <w:pPr>
              <w:pStyle w:val="FAPPIntroPara"/>
              <w:ind w:left="0"/>
              <w:rPr>
                <w:rFonts w:ascii="Arial" w:eastAsia="Calibri" w:hAnsi="Arial" w:cs="Arial"/>
              </w:rPr>
            </w:pPr>
            <w:r w:rsidRPr="00AF18A2">
              <w:rPr>
                <w:rFonts w:ascii="Arial" w:eastAsia="Calibri" w:hAnsi="Arial" w:cs="Arial"/>
              </w:rPr>
              <w:t>However, t</w:t>
            </w:r>
            <w:r w:rsidR="002259FA" w:rsidRPr="00AF18A2">
              <w:rPr>
                <w:rFonts w:ascii="Arial" w:eastAsia="Calibri" w:hAnsi="Arial" w:cs="Arial"/>
              </w:rPr>
              <w:t xml:space="preserve">he </w:t>
            </w:r>
            <w:r w:rsidRPr="00AF18A2">
              <w:rPr>
                <w:rFonts w:ascii="Arial" w:eastAsia="Calibri" w:hAnsi="Arial" w:cs="Arial"/>
              </w:rPr>
              <w:t>[</w:t>
            </w:r>
            <w:r w:rsidR="00795697" w:rsidRPr="00AF18A2">
              <w:rPr>
                <w:rFonts w:ascii="Arial" w:eastAsia="Calibri" w:hAnsi="Arial" w:cs="Arial"/>
                <w:b/>
                <w:bCs/>
              </w:rPr>
              <w:t xml:space="preserve">Director of Human </w:t>
            </w:r>
            <w:r w:rsidR="002259FA" w:rsidRPr="00AF18A2">
              <w:rPr>
                <w:rFonts w:ascii="Arial" w:eastAsia="Calibri" w:hAnsi="Arial" w:cs="Arial"/>
                <w:b/>
                <w:bCs/>
              </w:rPr>
              <w:t>Resources</w:t>
            </w:r>
            <w:r w:rsidRPr="00AF18A2">
              <w:rPr>
                <w:rFonts w:ascii="Arial" w:eastAsia="Calibri" w:hAnsi="Arial" w:cs="Arial"/>
              </w:rPr>
              <w:t>]</w:t>
            </w:r>
            <w:r w:rsidR="002259FA" w:rsidRPr="00AF18A2">
              <w:rPr>
                <w:rFonts w:ascii="Arial" w:eastAsia="Calibri" w:hAnsi="Arial" w:cs="Arial"/>
              </w:rPr>
              <w:t xml:space="preserve"> should mark the</w:t>
            </w:r>
            <w:r w:rsidR="00795697" w:rsidRPr="00AF18A2">
              <w:rPr>
                <w:rFonts w:ascii="Arial" w:eastAsia="Calibri" w:hAnsi="Arial" w:cs="Arial"/>
              </w:rPr>
              <w:t xml:space="preserve"> HR </w:t>
            </w:r>
            <w:r w:rsidR="002259FA" w:rsidRPr="00AF18A2">
              <w:rPr>
                <w:rFonts w:ascii="Arial" w:eastAsia="Calibri" w:hAnsi="Arial" w:cs="Arial"/>
              </w:rPr>
              <w:t>calendar to complete another assessment on January 1, 2023</w:t>
            </w:r>
            <w:r w:rsidR="00795697" w:rsidRPr="00AF18A2">
              <w:rPr>
                <w:rFonts w:ascii="Arial" w:eastAsia="Calibri" w:hAnsi="Arial" w:cs="Arial"/>
              </w:rPr>
              <w:t>.</w:t>
            </w:r>
            <w:r w:rsidR="00BC7E1F" w:rsidRPr="00AF18A2">
              <w:rPr>
                <w:rFonts w:ascii="Arial" w:eastAsia="Calibri" w:hAnsi="Arial" w:cs="Arial"/>
              </w:rPr>
              <w:t xml:space="preserve"> (See question </w:t>
            </w:r>
            <w:r w:rsidR="00BC7E1F" w:rsidRPr="00AF18A2">
              <w:rPr>
                <w:rFonts w:ascii="Arial" w:eastAsia="Calibri" w:hAnsi="Arial" w:cs="Arial"/>
              </w:rPr>
              <w:fldChar w:fldCharType="begin"/>
            </w:r>
            <w:r w:rsidR="00BC7E1F" w:rsidRPr="00AF18A2">
              <w:rPr>
                <w:rFonts w:ascii="Arial" w:eastAsia="Calibri" w:hAnsi="Arial" w:cs="Arial"/>
              </w:rPr>
              <w:instrText xml:space="preserve"> REF _Ref97539038 \r \h </w:instrText>
            </w:r>
            <w:r w:rsidR="009E40D2" w:rsidRPr="00AF18A2">
              <w:rPr>
                <w:rFonts w:ascii="Arial" w:eastAsia="Calibri" w:hAnsi="Arial" w:cs="Arial"/>
              </w:rPr>
              <w:instrText xml:space="preserve"> \* MERGEFORMAT </w:instrText>
            </w:r>
            <w:r w:rsidR="00BC7E1F" w:rsidRPr="00AF18A2">
              <w:rPr>
                <w:rFonts w:ascii="Arial" w:eastAsia="Calibri" w:hAnsi="Arial" w:cs="Arial"/>
              </w:rPr>
            </w:r>
            <w:r w:rsidR="00BC7E1F" w:rsidRPr="00AF18A2">
              <w:rPr>
                <w:rFonts w:ascii="Arial" w:eastAsia="Calibri" w:hAnsi="Arial" w:cs="Arial"/>
              </w:rPr>
              <w:fldChar w:fldCharType="separate"/>
            </w:r>
            <w:r w:rsidR="00FD5FEC" w:rsidRPr="00AF18A2">
              <w:rPr>
                <w:rFonts w:ascii="Arial" w:eastAsia="Calibri" w:hAnsi="Arial" w:cs="Arial"/>
              </w:rPr>
              <w:t>3</w:t>
            </w:r>
            <w:r w:rsidR="00BC7E1F" w:rsidRPr="00AF18A2">
              <w:rPr>
                <w:rFonts w:ascii="Arial" w:eastAsia="Calibri" w:hAnsi="Arial" w:cs="Arial"/>
              </w:rPr>
              <w:fldChar w:fldCharType="end"/>
            </w:r>
            <w:r w:rsidR="00BC7E1F" w:rsidRPr="00AF18A2">
              <w:rPr>
                <w:rFonts w:ascii="Arial" w:eastAsia="Calibri" w:hAnsi="Arial" w:cs="Arial"/>
              </w:rPr>
              <w:t xml:space="preserve"> below</w:t>
            </w:r>
            <w:r w:rsidR="009E40D2">
              <w:rPr>
                <w:rFonts w:ascii="Arial" w:eastAsia="Calibri" w:hAnsi="Arial" w:cs="Arial"/>
              </w:rPr>
              <w:t>.</w:t>
            </w:r>
            <w:r w:rsidR="00BC7E1F" w:rsidRPr="00AF18A2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09C48" w14:textId="77777777" w:rsidR="00455475" w:rsidRPr="00AF18A2" w:rsidRDefault="00455475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5475" w:rsidRPr="00AF18A2" w14:paraId="003246CB" w14:textId="77777777" w:rsidTr="00AF18A2">
        <w:trPr>
          <w:cantSplit/>
        </w:trPr>
        <w:tc>
          <w:tcPr>
            <w:tcW w:w="657" w:type="dxa"/>
            <w:shd w:val="clear" w:color="auto" w:fill="auto"/>
            <w:vAlign w:val="center"/>
          </w:tcPr>
          <w:p w14:paraId="1B8FA0A1" w14:textId="77777777" w:rsidR="00455475" w:rsidRPr="00AF18A2" w:rsidRDefault="00455475" w:rsidP="00AF18A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  <w:bookmarkStart w:id="1" w:name="_Ref97539038"/>
          </w:p>
        </w:tc>
        <w:bookmarkEnd w:id="1"/>
        <w:tc>
          <w:tcPr>
            <w:tcW w:w="235" w:type="dxa"/>
            <w:shd w:val="clear" w:color="auto" w:fill="auto"/>
            <w:vAlign w:val="center"/>
          </w:tcPr>
          <w:p w14:paraId="70120233" w14:textId="77777777" w:rsidR="00455475" w:rsidRPr="00AF18A2" w:rsidRDefault="00455475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45960C09" w14:textId="030E673C" w:rsidR="00455475" w:rsidRPr="00AF18A2" w:rsidRDefault="00F361FD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Do</w:t>
            </w:r>
            <w:r w:rsidR="007C07FD" w:rsidRPr="00AF18A2">
              <w:rPr>
                <w:rFonts w:ascii="Arial" w:hAnsi="Arial" w:cs="Arial"/>
                <w:lang w:val="en-CA"/>
              </w:rPr>
              <w:t xml:space="preserve"> you </w:t>
            </w:r>
            <w:r w:rsidRPr="00AF18A2">
              <w:rPr>
                <w:rFonts w:ascii="Arial" w:hAnsi="Arial" w:cs="Arial"/>
                <w:lang w:val="en-CA"/>
              </w:rPr>
              <w:t xml:space="preserve">employ 25 or more employees as of January 1, </w:t>
            </w:r>
            <w:r w:rsidR="00435F52" w:rsidRPr="00AF18A2">
              <w:rPr>
                <w:rFonts w:ascii="Arial" w:hAnsi="Arial" w:cs="Arial"/>
                <w:lang w:val="en-CA"/>
              </w:rPr>
              <w:t>[</w:t>
            </w:r>
            <w:r w:rsidRPr="00AF18A2">
              <w:rPr>
                <w:rFonts w:ascii="Arial" w:hAnsi="Arial" w:cs="Arial"/>
                <w:b/>
                <w:bCs/>
                <w:lang w:val="en-CA"/>
              </w:rPr>
              <w:t>2023</w:t>
            </w:r>
            <w:r w:rsidR="00435F52" w:rsidRPr="00AF18A2">
              <w:rPr>
                <w:rFonts w:ascii="Arial" w:hAnsi="Arial" w:cs="Arial"/>
                <w:lang w:val="en-CA"/>
              </w:rPr>
              <w:t>]</w:t>
            </w:r>
            <w:r w:rsidRPr="00AF18A2">
              <w:rPr>
                <w:rFonts w:ascii="Arial" w:hAnsi="Arial" w:cs="Arial"/>
                <w:lang w:val="en-CA"/>
              </w:rPr>
              <w:t>?</w:t>
            </w:r>
          </w:p>
          <w:p w14:paraId="03DC66A6" w14:textId="395A902C" w:rsidR="00F361FD" w:rsidRPr="00AF18A2" w:rsidRDefault="00F361FD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</w:p>
          <w:p w14:paraId="584D69C0" w14:textId="0A2F5393" w:rsidR="00455475" w:rsidRDefault="00D22AF6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18A2">
              <w:rPr>
                <w:rFonts w:ascii="Arial" w:eastAsia="Calibri" w:hAnsi="Arial" w:cs="Arial"/>
                <w:sz w:val="24"/>
                <w:szCs w:val="24"/>
              </w:rPr>
              <w:t>If the answer to this question is “Yes</w:t>
            </w:r>
            <w:r w:rsidR="009E40D2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F18A2">
              <w:rPr>
                <w:rFonts w:ascii="Arial" w:eastAsia="Calibri" w:hAnsi="Arial" w:cs="Arial"/>
                <w:sz w:val="24"/>
                <w:szCs w:val="24"/>
              </w:rPr>
              <w:t xml:space="preserve">” </w:t>
            </w:r>
            <w:r w:rsidR="001D046D" w:rsidRPr="00AF18A2">
              <w:rPr>
                <w:rFonts w:ascii="Arial" w:eastAsia="Calibri" w:hAnsi="Arial" w:cs="Arial"/>
                <w:sz w:val="24"/>
                <w:szCs w:val="24"/>
              </w:rPr>
              <w:t>the organization needs to have a written policy in place b</w:t>
            </w:r>
            <w:r w:rsidR="00413F19" w:rsidRPr="00AF18A2">
              <w:rPr>
                <w:rFonts w:ascii="Arial" w:eastAsia="Calibri" w:hAnsi="Arial" w:cs="Arial"/>
                <w:sz w:val="24"/>
                <w:szCs w:val="24"/>
              </w:rPr>
              <w:t>efore</w:t>
            </w:r>
            <w:r w:rsidR="001D046D" w:rsidRPr="00AF18A2">
              <w:rPr>
                <w:rFonts w:ascii="Arial" w:eastAsia="Calibri" w:hAnsi="Arial" w:cs="Arial"/>
                <w:sz w:val="24"/>
                <w:szCs w:val="24"/>
              </w:rPr>
              <w:t xml:space="preserve"> March 1, </w:t>
            </w:r>
            <w:r w:rsidR="00435F52" w:rsidRPr="00AF18A2">
              <w:rPr>
                <w:rFonts w:ascii="Arial" w:eastAsia="Calibri" w:hAnsi="Arial" w:cs="Arial"/>
                <w:sz w:val="24"/>
                <w:szCs w:val="24"/>
              </w:rPr>
              <w:t>[</w:t>
            </w:r>
            <w:r w:rsidR="001D046D" w:rsidRPr="00AF18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2023</w:t>
            </w:r>
            <w:r w:rsidR="00435F52" w:rsidRPr="00AF18A2">
              <w:rPr>
                <w:rFonts w:ascii="Arial" w:eastAsia="Calibri" w:hAnsi="Arial" w:cs="Arial"/>
                <w:sz w:val="24"/>
                <w:szCs w:val="24"/>
              </w:rPr>
              <w:t>]</w:t>
            </w:r>
            <w:r w:rsidR="009E40D2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A06FFF" w:rsidRPr="00AF18A2">
              <w:rPr>
                <w:rFonts w:ascii="Arial" w:eastAsia="Calibri" w:hAnsi="Arial" w:cs="Arial"/>
                <w:sz w:val="24"/>
                <w:szCs w:val="24"/>
              </w:rPr>
              <w:t xml:space="preserve"> and complete the rest of this checklist. </w:t>
            </w:r>
            <w:r w:rsidR="00D76881" w:rsidRPr="00AF18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45E0A3B6" w14:textId="77777777" w:rsidR="009E40D2" w:rsidRPr="00AF18A2" w:rsidRDefault="009E40D2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587E07" w14:textId="54A5DFA1" w:rsidR="00435F52" w:rsidRPr="00AF18A2" w:rsidRDefault="00435F52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18A2">
              <w:rPr>
                <w:rFonts w:ascii="Arial" w:eastAsia="Calibri" w:hAnsi="Arial" w:cs="Arial"/>
                <w:sz w:val="24"/>
                <w:szCs w:val="24"/>
              </w:rPr>
              <w:t>If the answer to this question is “No</w:t>
            </w:r>
            <w:r w:rsidR="009E40D2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F18A2">
              <w:rPr>
                <w:rFonts w:ascii="Arial" w:eastAsia="Calibri" w:hAnsi="Arial" w:cs="Arial"/>
                <w:sz w:val="24"/>
                <w:szCs w:val="24"/>
              </w:rPr>
              <w:t xml:space="preserve">” </w:t>
            </w:r>
            <w:r w:rsidR="00C02336" w:rsidRPr="00AF18A2">
              <w:rPr>
                <w:rFonts w:ascii="Arial" w:eastAsia="Calibri" w:hAnsi="Arial" w:cs="Arial"/>
                <w:sz w:val="24"/>
                <w:szCs w:val="24"/>
              </w:rPr>
              <w:t>re</w:t>
            </w:r>
            <w:r w:rsidR="009E40D2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AF18A2">
              <w:rPr>
                <w:rFonts w:ascii="Arial" w:eastAsia="Calibri" w:hAnsi="Arial" w:cs="Arial"/>
                <w:sz w:val="24"/>
                <w:szCs w:val="24"/>
              </w:rPr>
              <w:t>perform this assessment on January 1 of every successive year. Mark calendars so that the organization does not forget.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79454" w14:textId="77777777" w:rsidR="00455475" w:rsidRPr="00AF18A2" w:rsidRDefault="00455475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5F52" w:rsidRPr="00AF18A2" w14:paraId="02DCB2FB" w14:textId="77777777" w:rsidTr="00AF18A2">
        <w:trPr>
          <w:cantSplit/>
        </w:trPr>
        <w:tc>
          <w:tcPr>
            <w:tcW w:w="657" w:type="dxa"/>
            <w:shd w:val="clear" w:color="auto" w:fill="auto"/>
            <w:vAlign w:val="center"/>
          </w:tcPr>
          <w:p w14:paraId="2D9DA116" w14:textId="77777777" w:rsidR="00435F52" w:rsidRPr="00AF18A2" w:rsidRDefault="00435F52" w:rsidP="00AF18A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339A349" w14:textId="77777777" w:rsidR="00435F52" w:rsidRPr="00AF18A2" w:rsidRDefault="00435F52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2539D647" w14:textId="43749AD0" w:rsidR="00435F52" w:rsidRPr="00AF18A2" w:rsidRDefault="00435F52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Has the [</w:t>
            </w:r>
            <w:r w:rsidRPr="00AF18A2">
              <w:rPr>
                <w:rFonts w:ascii="Arial" w:hAnsi="Arial" w:cs="Arial"/>
                <w:b/>
                <w:bCs/>
                <w:lang w:val="en-CA"/>
              </w:rPr>
              <w:t>Director</w:t>
            </w:r>
            <w:r w:rsidR="009E40D2">
              <w:rPr>
                <w:rFonts w:ascii="Arial" w:hAnsi="Arial" w:cs="Arial"/>
                <w:b/>
                <w:bCs/>
                <w:lang w:val="en-CA"/>
              </w:rPr>
              <w:t xml:space="preserve"> of</w:t>
            </w:r>
            <w:r w:rsidRPr="00AF18A2">
              <w:rPr>
                <w:rFonts w:ascii="Arial" w:hAnsi="Arial" w:cs="Arial"/>
                <w:b/>
                <w:bCs/>
                <w:lang w:val="en-CA"/>
              </w:rPr>
              <w:t xml:space="preserve"> Human Resources</w:t>
            </w:r>
            <w:r w:rsidRPr="00AF18A2">
              <w:rPr>
                <w:rFonts w:ascii="Arial" w:hAnsi="Arial" w:cs="Arial"/>
                <w:lang w:val="en-CA"/>
              </w:rPr>
              <w:t>] marked the HR calendar to re</w:t>
            </w:r>
            <w:r w:rsidR="009E40D2">
              <w:rPr>
                <w:rFonts w:ascii="Arial" w:hAnsi="Arial" w:cs="Arial"/>
                <w:lang w:val="en-CA"/>
              </w:rPr>
              <w:t>-</w:t>
            </w:r>
            <w:r w:rsidRPr="00AF18A2">
              <w:rPr>
                <w:rFonts w:ascii="Arial" w:hAnsi="Arial" w:cs="Arial"/>
                <w:lang w:val="en-CA"/>
              </w:rPr>
              <w:t>perform the assessment</w:t>
            </w:r>
            <w:r w:rsidR="00DA3D90" w:rsidRPr="00AF18A2">
              <w:rPr>
                <w:rFonts w:ascii="Arial" w:hAnsi="Arial" w:cs="Arial"/>
                <w:lang w:val="en-CA"/>
              </w:rPr>
              <w:t xml:space="preserve">s </w:t>
            </w:r>
            <w:r w:rsidRPr="00AF18A2">
              <w:rPr>
                <w:rFonts w:ascii="Arial" w:hAnsi="Arial" w:cs="Arial"/>
                <w:lang w:val="en-CA"/>
              </w:rPr>
              <w:t>above on January 1 of each year?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E2275" w14:textId="77777777" w:rsidR="00435F52" w:rsidRPr="00AF18A2" w:rsidRDefault="00435F52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70EB5" w:rsidRPr="00AF18A2" w14:paraId="0F2D888E" w14:textId="77777777" w:rsidTr="00AF18A2">
        <w:trPr>
          <w:cantSplit/>
        </w:trPr>
        <w:tc>
          <w:tcPr>
            <w:tcW w:w="657" w:type="dxa"/>
            <w:shd w:val="clear" w:color="auto" w:fill="auto"/>
            <w:vAlign w:val="center"/>
          </w:tcPr>
          <w:p w14:paraId="55C72860" w14:textId="77777777" w:rsidR="00E70EB5" w:rsidRPr="00AF18A2" w:rsidRDefault="00E70EB5" w:rsidP="00AF18A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464DFCC" w14:textId="77777777" w:rsidR="00E70EB5" w:rsidRPr="00AF18A2" w:rsidRDefault="00E70EB5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499CB0AA" w14:textId="77777777" w:rsidR="00E70EB5" w:rsidRPr="00AF18A2" w:rsidRDefault="00E70EB5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Does the employee count include all relevant employees?</w:t>
            </w:r>
          </w:p>
          <w:p w14:paraId="7318AD96" w14:textId="121D572D" w:rsidR="00E70EB5" w:rsidRPr="00AF18A2" w:rsidRDefault="00E70EB5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</w:p>
          <w:p w14:paraId="0AA608A2" w14:textId="63A3C9A0" w:rsidR="001D2D5D" w:rsidRPr="00AF18A2" w:rsidRDefault="001D2D5D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In assessing whether the organization meets the 25-or-more employee threshold:</w:t>
            </w:r>
          </w:p>
          <w:p w14:paraId="670D2F89" w14:textId="0329B42F" w:rsidR="00C2054E" w:rsidRPr="00AF18A2" w:rsidRDefault="00F92754" w:rsidP="00AF18A2">
            <w:pPr>
              <w:pStyle w:val="FAPPIntroPara"/>
              <w:numPr>
                <w:ilvl w:val="0"/>
                <w:numId w:val="4"/>
              </w:numPr>
              <w:ind w:left="367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Multi-location employers should i</w:t>
            </w:r>
            <w:r w:rsidR="00E70EB5" w:rsidRPr="00AF18A2">
              <w:rPr>
                <w:rFonts w:ascii="Arial" w:hAnsi="Arial" w:cs="Arial"/>
                <w:lang w:val="en-CA"/>
              </w:rPr>
              <w:t xml:space="preserve">nclude employees working at </w:t>
            </w:r>
            <w:r w:rsidR="00E31F49" w:rsidRPr="00AF18A2">
              <w:rPr>
                <w:rFonts w:ascii="Arial" w:hAnsi="Arial" w:cs="Arial"/>
                <w:lang w:val="en-CA"/>
              </w:rPr>
              <w:t xml:space="preserve">all the </w:t>
            </w:r>
            <w:r w:rsidR="00E70EB5" w:rsidRPr="00AF18A2">
              <w:rPr>
                <w:rFonts w:ascii="Arial" w:hAnsi="Arial" w:cs="Arial"/>
                <w:lang w:val="en-CA"/>
              </w:rPr>
              <w:t>different locations</w:t>
            </w:r>
            <w:r w:rsidR="00E31F49" w:rsidRPr="00AF18A2">
              <w:rPr>
                <w:rFonts w:ascii="Arial" w:hAnsi="Arial" w:cs="Arial"/>
                <w:lang w:val="en-CA"/>
              </w:rPr>
              <w:t xml:space="preserve"> even if any location has less than 25 employees.</w:t>
            </w:r>
          </w:p>
          <w:p w14:paraId="2CDADD49" w14:textId="23EDC155" w:rsidR="00C2054E" w:rsidRPr="00AF18A2" w:rsidRDefault="00DA4A0E" w:rsidP="00AF18A2">
            <w:pPr>
              <w:pStyle w:val="FAPPIntroPara"/>
              <w:numPr>
                <w:ilvl w:val="0"/>
                <w:numId w:val="4"/>
              </w:numPr>
              <w:ind w:left="367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Assess</w:t>
            </w:r>
            <w:r w:rsidR="00E70EB5" w:rsidRPr="00AF18A2">
              <w:rPr>
                <w:rFonts w:ascii="Arial" w:hAnsi="Arial" w:cs="Arial"/>
                <w:lang w:val="en-CA"/>
              </w:rPr>
              <w:t xml:space="preserve"> whether two or more employe</w:t>
            </w:r>
            <w:r w:rsidRPr="00AF18A2">
              <w:rPr>
                <w:rFonts w:ascii="Arial" w:hAnsi="Arial" w:cs="Arial"/>
                <w:lang w:val="en-CA"/>
              </w:rPr>
              <w:t>r</w:t>
            </w:r>
            <w:r w:rsidR="00E70EB5" w:rsidRPr="00AF18A2">
              <w:rPr>
                <w:rFonts w:ascii="Arial" w:hAnsi="Arial" w:cs="Arial"/>
                <w:lang w:val="en-CA"/>
              </w:rPr>
              <w:t xml:space="preserve">s may be treated as one under the ESA. </w:t>
            </w:r>
          </w:p>
          <w:p w14:paraId="261B3761" w14:textId="1A95A3D7" w:rsidR="00C2054E" w:rsidRPr="00AF18A2" w:rsidRDefault="00E70EB5" w:rsidP="00AF18A2">
            <w:pPr>
              <w:pStyle w:val="FAPPIntroPara"/>
              <w:numPr>
                <w:ilvl w:val="0"/>
                <w:numId w:val="4"/>
              </w:numPr>
              <w:ind w:left="367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 xml:space="preserve">Exclude </w:t>
            </w:r>
            <w:r w:rsidR="00E06CC8" w:rsidRPr="00AF18A2">
              <w:rPr>
                <w:rFonts w:ascii="Arial" w:hAnsi="Arial" w:cs="Arial"/>
                <w:lang w:val="en-CA"/>
              </w:rPr>
              <w:t xml:space="preserve">temporary </w:t>
            </w:r>
            <w:r w:rsidRPr="00AF18A2">
              <w:rPr>
                <w:rFonts w:ascii="Arial" w:hAnsi="Arial" w:cs="Arial"/>
                <w:lang w:val="en-CA"/>
              </w:rPr>
              <w:t xml:space="preserve">employees </w:t>
            </w:r>
            <w:r w:rsidR="00E06CC8" w:rsidRPr="00AF18A2">
              <w:rPr>
                <w:rFonts w:ascii="Arial" w:hAnsi="Arial" w:cs="Arial"/>
                <w:lang w:val="en-CA"/>
              </w:rPr>
              <w:t xml:space="preserve">that a </w:t>
            </w:r>
            <w:r w:rsidRPr="00AF18A2">
              <w:rPr>
                <w:rFonts w:ascii="Arial" w:hAnsi="Arial" w:cs="Arial"/>
                <w:lang w:val="en-CA"/>
              </w:rPr>
              <w:t>temporary help agenc</w:t>
            </w:r>
            <w:r w:rsidR="00E06CC8" w:rsidRPr="00AF18A2">
              <w:rPr>
                <w:rFonts w:ascii="Arial" w:hAnsi="Arial" w:cs="Arial"/>
                <w:lang w:val="en-CA"/>
              </w:rPr>
              <w:t>y provides. The t</w:t>
            </w:r>
            <w:r w:rsidRPr="00AF18A2">
              <w:rPr>
                <w:rFonts w:ascii="Arial" w:hAnsi="Arial" w:cs="Arial"/>
                <w:lang w:val="en-CA"/>
              </w:rPr>
              <w:t>emporary help agency will include such employees in their own</w:t>
            </w:r>
            <w:r w:rsidR="00E06CC8" w:rsidRPr="00AF18A2">
              <w:rPr>
                <w:rFonts w:ascii="Arial" w:hAnsi="Arial" w:cs="Arial"/>
                <w:lang w:val="en-CA"/>
              </w:rPr>
              <w:t xml:space="preserve"> assessment of </w:t>
            </w:r>
            <w:r w:rsidRPr="00AF18A2">
              <w:rPr>
                <w:rFonts w:ascii="Arial" w:hAnsi="Arial" w:cs="Arial"/>
                <w:lang w:val="en-CA"/>
              </w:rPr>
              <w:t>headcounts</w:t>
            </w:r>
            <w:r w:rsidR="00F47795" w:rsidRPr="00AF18A2">
              <w:rPr>
                <w:rFonts w:ascii="Arial" w:hAnsi="Arial" w:cs="Arial"/>
                <w:lang w:val="en-CA"/>
              </w:rPr>
              <w:t>, regardless of whether those employees are active or inactive</w:t>
            </w:r>
            <w:r w:rsidRPr="00AF18A2">
              <w:rPr>
                <w:rFonts w:ascii="Arial" w:hAnsi="Arial" w:cs="Arial"/>
                <w:lang w:val="en-CA"/>
              </w:rPr>
              <w:t>.</w:t>
            </w:r>
            <w:r w:rsidR="007F05FB" w:rsidRPr="00AF18A2">
              <w:rPr>
                <w:rFonts w:ascii="Arial" w:hAnsi="Arial" w:cs="Arial"/>
                <w:lang w:val="en-CA"/>
              </w:rPr>
              <w:t xml:space="preserve"> </w:t>
            </w:r>
          </w:p>
          <w:p w14:paraId="62A33732" w14:textId="0B9A47F0" w:rsidR="00E70EB5" w:rsidRPr="00AF18A2" w:rsidRDefault="007F05FB" w:rsidP="00AF18A2">
            <w:pPr>
              <w:pStyle w:val="FAPPIntroPara"/>
              <w:numPr>
                <w:ilvl w:val="0"/>
                <w:numId w:val="4"/>
              </w:numPr>
              <w:ind w:left="367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Count unique individuals</w:t>
            </w:r>
            <w:r w:rsidR="00C2054E" w:rsidRPr="00AF18A2">
              <w:rPr>
                <w:rFonts w:ascii="Arial" w:hAnsi="Arial" w:cs="Arial"/>
                <w:lang w:val="en-CA"/>
              </w:rPr>
              <w:t>,</w:t>
            </w:r>
            <w:r w:rsidRPr="00AF18A2">
              <w:rPr>
                <w:rFonts w:ascii="Arial" w:hAnsi="Arial" w:cs="Arial"/>
                <w:lang w:val="en-CA"/>
              </w:rPr>
              <w:t xml:space="preserve"> not full-time equivalents (FTEs).</w:t>
            </w:r>
            <w:r w:rsidR="00C2054E" w:rsidRPr="00AF18A2">
              <w:rPr>
                <w:rFonts w:ascii="Arial" w:hAnsi="Arial" w:cs="Arial"/>
                <w:lang w:val="en-CA"/>
              </w:rPr>
              <w:t xml:space="preserve"> Each </w:t>
            </w:r>
            <w:r w:rsidR="00E06CC8" w:rsidRPr="00AF18A2">
              <w:rPr>
                <w:rFonts w:ascii="Arial" w:hAnsi="Arial" w:cs="Arial"/>
                <w:lang w:val="en-CA"/>
              </w:rPr>
              <w:t xml:space="preserve">part-time or casual </w:t>
            </w:r>
            <w:r w:rsidR="00C2054E" w:rsidRPr="00AF18A2">
              <w:rPr>
                <w:rFonts w:ascii="Arial" w:hAnsi="Arial" w:cs="Arial"/>
                <w:lang w:val="en-CA"/>
              </w:rPr>
              <w:t xml:space="preserve">employee counts as one employee regardless of their FTE. </w:t>
            </w:r>
          </w:p>
          <w:p w14:paraId="3CEA656F" w14:textId="1031D41E" w:rsidR="00E70EB5" w:rsidRPr="00AF18A2" w:rsidRDefault="00E70EB5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422261" w14:textId="77777777" w:rsidR="00E70EB5" w:rsidRPr="00AF18A2" w:rsidRDefault="00E70EB5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5475" w:rsidRPr="00AF18A2" w14:paraId="20FB8E8A" w14:textId="77777777" w:rsidTr="00AF18A2">
        <w:trPr>
          <w:cantSplit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2EDD0BB3" w14:textId="6B6406FC" w:rsidR="00455475" w:rsidRPr="00AF18A2" w:rsidRDefault="002E5E35" w:rsidP="00AF18A2">
            <w:pPr>
              <w:pStyle w:val="Heading1"/>
              <w:shd w:val="clear" w:color="auto" w:fill="D9D9D9" w:themeFill="background1" w:themeFillShade="D9"/>
              <w:spacing w:before="0" w:after="0"/>
              <w:jc w:val="center"/>
              <w:rPr>
                <w:rFonts w:eastAsia="Calibri"/>
              </w:rPr>
            </w:pPr>
            <w:bookmarkStart w:id="2" w:name="_Toc97611785"/>
            <w:r w:rsidRPr="00AF18A2">
              <w:rPr>
                <w:sz w:val="24"/>
                <w:szCs w:val="24"/>
                <w:lang w:val="en-CA"/>
              </w:rPr>
              <w:t xml:space="preserve">Policy </w:t>
            </w:r>
            <w:r w:rsidR="00FF38F4" w:rsidRPr="00AF18A2">
              <w:rPr>
                <w:sz w:val="24"/>
                <w:szCs w:val="24"/>
                <w:lang w:val="en-CA"/>
              </w:rPr>
              <w:t>Scope and Content</w:t>
            </w:r>
            <w:bookmarkEnd w:id="2"/>
            <w:r w:rsidR="00FF38F4" w:rsidRPr="00AF18A2">
              <w:rPr>
                <w:sz w:val="24"/>
                <w:szCs w:val="24"/>
                <w:lang w:val="en-CA"/>
              </w:rPr>
              <w:t xml:space="preserve"> </w:t>
            </w:r>
          </w:p>
          <w:p w14:paraId="4F76F0AA" w14:textId="6AD013CE" w:rsidR="002E5E35" w:rsidRPr="00AF18A2" w:rsidRDefault="002E5E35" w:rsidP="00AF18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18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(A </w:t>
            </w:r>
            <w:r w:rsidR="00ED4B29" w:rsidRPr="00AF18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“N</w:t>
            </w:r>
            <w:r w:rsidRPr="00AF18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</w:t>
            </w:r>
            <w:r w:rsidR="00ED4B29" w:rsidRPr="00AF18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”</w:t>
            </w:r>
            <w:r w:rsidRPr="00AF18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answer to any of the following questions may indicate non-compliance</w:t>
            </w:r>
            <w:r w:rsidR="00845E30" w:rsidRPr="00AF18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724700" w:rsidRPr="00AF18A2" w14:paraId="0B9486B7" w14:textId="77777777" w:rsidTr="00AF18A2">
        <w:trPr>
          <w:cantSplit/>
        </w:trPr>
        <w:tc>
          <w:tcPr>
            <w:tcW w:w="657" w:type="dxa"/>
            <w:shd w:val="clear" w:color="auto" w:fill="auto"/>
            <w:vAlign w:val="center"/>
          </w:tcPr>
          <w:p w14:paraId="281E0796" w14:textId="77777777" w:rsidR="00724700" w:rsidRPr="00AF18A2" w:rsidRDefault="00724700" w:rsidP="00AF18A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315D5E4" w14:textId="77777777" w:rsidR="00724700" w:rsidRPr="00AF18A2" w:rsidRDefault="00724700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614E0E15" w14:textId="776CE130" w:rsidR="00724700" w:rsidRPr="00AF18A2" w:rsidRDefault="00724700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Does the disconnecting from work policy cover every employee</w:t>
            </w:r>
            <w:r w:rsidR="00D26309" w:rsidRPr="00AF18A2">
              <w:rPr>
                <w:rFonts w:ascii="Arial" w:hAnsi="Arial" w:cs="Arial"/>
                <w:lang w:val="en-CA"/>
              </w:rPr>
              <w:t xml:space="preserve"> regardless of </w:t>
            </w:r>
            <w:r w:rsidR="003C4B5A" w:rsidRPr="00AF18A2">
              <w:rPr>
                <w:rFonts w:ascii="Arial" w:hAnsi="Arial" w:cs="Arial"/>
                <w:lang w:val="en-CA"/>
              </w:rPr>
              <w:t xml:space="preserve">their </w:t>
            </w:r>
            <w:r w:rsidR="00D26309" w:rsidRPr="00AF18A2">
              <w:rPr>
                <w:rFonts w:ascii="Arial" w:hAnsi="Arial" w:cs="Arial"/>
                <w:lang w:val="en-CA"/>
              </w:rPr>
              <w:t>status</w:t>
            </w:r>
            <w:r w:rsidR="003C4B5A" w:rsidRPr="00AF18A2">
              <w:rPr>
                <w:rFonts w:ascii="Arial" w:hAnsi="Arial" w:cs="Arial"/>
                <w:lang w:val="en-CA"/>
              </w:rPr>
              <w:t xml:space="preserve">, FTE </w:t>
            </w:r>
            <w:r w:rsidR="00D26309" w:rsidRPr="00AF18A2">
              <w:rPr>
                <w:rFonts w:ascii="Arial" w:hAnsi="Arial" w:cs="Arial"/>
                <w:lang w:val="en-CA"/>
              </w:rPr>
              <w:t>or work arrangement</w:t>
            </w:r>
            <w:r w:rsidR="00FF38F4" w:rsidRPr="00AF18A2">
              <w:rPr>
                <w:rFonts w:ascii="Arial" w:hAnsi="Arial" w:cs="Arial"/>
                <w:lang w:val="en-CA"/>
              </w:rPr>
              <w:t>?</w:t>
            </w:r>
          </w:p>
          <w:p w14:paraId="05D2B42D" w14:textId="631BE89D" w:rsidR="00FF38F4" w:rsidRPr="00AF18A2" w:rsidRDefault="00FF38F4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</w:p>
          <w:p w14:paraId="2A23E150" w14:textId="5DB04E56" w:rsidR="00FF38F4" w:rsidRPr="00AF18A2" w:rsidRDefault="00FF38F4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This assumes that the organization has a single disconnecting from work policy.</w:t>
            </w:r>
          </w:p>
          <w:p w14:paraId="4FBA3313" w14:textId="35464714" w:rsidR="00F92754" w:rsidRPr="00AF18A2" w:rsidRDefault="00F92754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</w:p>
          <w:p w14:paraId="17BB61D9" w14:textId="308D9769" w:rsidR="00F92754" w:rsidRPr="00AF18A2" w:rsidRDefault="00F92754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 xml:space="preserve">The policy must cover all employees, be they homeworkers, probationary </w:t>
            </w:r>
            <w:r w:rsidR="003C4B5A" w:rsidRPr="00AF18A2">
              <w:rPr>
                <w:rFonts w:ascii="Arial" w:hAnsi="Arial" w:cs="Arial"/>
                <w:lang w:val="en-CA"/>
              </w:rPr>
              <w:t>employee</w:t>
            </w:r>
            <w:r w:rsidRPr="00AF18A2">
              <w:rPr>
                <w:rFonts w:ascii="Arial" w:hAnsi="Arial" w:cs="Arial"/>
                <w:lang w:val="en-CA"/>
              </w:rPr>
              <w:t xml:space="preserve">s, directors and officers who work for wages, employees hired for fixed tasks or terms of any length, employees on lay-off </w:t>
            </w:r>
            <w:r w:rsidR="00FD36A4" w:rsidRPr="00AF18A2">
              <w:rPr>
                <w:rFonts w:ascii="Arial" w:hAnsi="Arial" w:cs="Arial"/>
                <w:lang w:val="en-CA"/>
              </w:rPr>
              <w:t>if</w:t>
            </w:r>
            <w:r w:rsidRPr="00AF18A2">
              <w:rPr>
                <w:rFonts w:ascii="Arial" w:hAnsi="Arial" w:cs="Arial"/>
                <w:lang w:val="en-CA"/>
              </w:rPr>
              <w:t xml:space="preserve"> their employment was not severed or terminated, employees on leaves of absence, strike or lockout, some trainees and employees who may be exempt from other sections of the ESA.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58964" w14:textId="77777777" w:rsidR="00724700" w:rsidRPr="00AF18A2" w:rsidRDefault="00724700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5475" w:rsidRPr="00AF18A2" w14:paraId="47D9E639" w14:textId="77777777" w:rsidTr="00AF18A2">
        <w:trPr>
          <w:cantSplit/>
        </w:trPr>
        <w:tc>
          <w:tcPr>
            <w:tcW w:w="657" w:type="dxa"/>
            <w:shd w:val="clear" w:color="auto" w:fill="auto"/>
            <w:vAlign w:val="center"/>
          </w:tcPr>
          <w:p w14:paraId="6D98035F" w14:textId="77777777" w:rsidR="00455475" w:rsidRPr="00AF18A2" w:rsidRDefault="00455475" w:rsidP="00AF18A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BC63909" w14:textId="77777777" w:rsidR="00455475" w:rsidRPr="00AF18A2" w:rsidRDefault="00455475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40D26031" w14:textId="42F669CA" w:rsidR="00455475" w:rsidRPr="00AF18A2" w:rsidRDefault="00D26309" w:rsidP="00AF18A2">
            <w:pPr>
              <w:pStyle w:val="FAPPIntroPara"/>
              <w:ind w:left="0"/>
              <w:rPr>
                <w:rFonts w:eastAsia="Calibri"/>
              </w:rPr>
            </w:pPr>
            <w:r w:rsidRPr="00AF18A2">
              <w:rPr>
                <w:rFonts w:ascii="Arial" w:hAnsi="Arial" w:cs="Arial"/>
                <w:lang w:val="en-CA"/>
              </w:rPr>
              <w:t xml:space="preserve">Does the policy include the date </w:t>
            </w:r>
            <w:r w:rsidR="00B64088" w:rsidRPr="00AF18A2">
              <w:rPr>
                <w:rFonts w:ascii="Arial" w:hAnsi="Arial" w:cs="Arial"/>
                <w:lang w:val="en-CA"/>
              </w:rPr>
              <w:t>the policy was prepared</w:t>
            </w:r>
            <w:r w:rsidRPr="00AF18A2">
              <w:rPr>
                <w:rFonts w:ascii="Arial" w:hAnsi="Arial" w:cs="Arial"/>
                <w:lang w:val="en-CA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1189B" w14:textId="77777777" w:rsidR="00455475" w:rsidRPr="00AF18A2" w:rsidRDefault="00455475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4088" w:rsidRPr="00AF18A2" w14:paraId="331E2E9E" w14:textId="77777777" w:rsidTr="00AF18A2">
        <w:trPr>
          <w:cantSplit/>
        </w:trPr>
        <w:tc>
          <w:tcPr>
            <w:tcW w:w="657" w:type="dxa"/>
            <w:shd w:val="clear" w:color="auto" w:fill="auto"/>
            <w:vAlign w:val="center"/>
          </w:tcPr>
          <w:p w14:paraId="6659908A" w14:textId="77777777" w:rsidR="00B64088" w:rsidRPr="00AF18A2" w:rsidRDefault="00B64088" w:rsidP="00AF18A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50AFC9D" w14:textId="77777777" w:rsidR="00B64088" w:rsidRPr="00AF18A2" w:rsidRDefault="00B64088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6189DDE3" w14:textId="024551A3" w:rsidR="00DD1666" w:rsidRPr="00AF18A2" w:rsidRDefault="00B64088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Ha</w:t>
            </w:r>
            <w:r w:rsidR="00495EF9" w:rsidRPr="00AF18A2">
              <w:rPr>
                <w:rFonts w:ascii="Arial" w:hAnsi="Arial" w:cs="Arial"/>
                <w:lang w:val="en-CA"/>
              </w:rPr>
              <w:t xml:space="preserve">s each existing </w:t>
            </w:r>
            <w:r w:rsidR="00DF2FCD" w:rsidRPr="00AF18A2">
              <w:rPr>
                <w:rFonts w:ascii="Arial" w:hAnsi="Arial" w:cs="Arial"/>
                <w:lang w:val="en-CA"/>
              </w:rPr>
              <w:t>employee received a copy of the policy within 30 calendar days of the date the policy was prepared?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238EB" w14:textId="77777777" w:rsidR="00B64088" w:rsidRPr="00AF18A2" w:rsidRDefault="00B64088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4088" w:rsidRPr="00AF18A2" w14:paraId="620DC3A7" w14:textId="77777777" w:rsidTr="00AF18A2">
        <w:trPr>
          <w:cantSplit/>
        </w:trPr>
        <w:tc>
          <w:tcPr>
            <w:tcW w:w="657" w:type="dxa"/>
            <w:shd w:val="clear" w:color="auto" w:fill="auto"/>
            <w:vAlign w:val="center"/>
          </w:tcPr>
          <w:p w14:paraId="505CBA52" w14:textId="77777777" w:rsidR="00B64088" w:rsidRPr="00AF18A2" w:rsidRDefault="00B64088" w:rsidP="00AF18A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064C8D0" w14:textId="77777777" w:rsidR="00B64088" w:rsidRPr="00AF18A2" w:rsidRDefault="00B64088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0578920E" w14:textId="3859993B" w:rsidR="00DD1666" w:rsidRPr="00AF18A2" w:rsidRDefault="00B64088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H</w:t>
            </w:r>
            <w:r w:rsidR="00DF2FCD" w:rsidRPr="00AF18A2">
              <w:rPr>
                <w:rFonts w:ascii="Arial" w:hAnsi="Arial" w:cs="Arial"/>
                <w:lang w:val="en-CA"/>
              </w:rPr>
              <w:t>a</w:t>
            </w:r>
            <w:r w:rsidR="00495EF9" w:rsidRPr="00AF18A2">
              <w:rPr>
                <w:rFonts w:ascii="Arial" w:hAnsi="Arial" w:cs="Arial"/>
                <w:lang w:val="en-CA"/>
              </w:rPr>
              <w:t xml:space="preserve">s </w:t>
            </w:r>
            <w:r w:rsidR="00B513BF" w:rsidRPr="00AF18A2">
              <w:rPr>
                <w:rFonts w:ascii="Arial" w:hAnsi="Arial" w:cs="Arial"/>
                <w:lang w:val="en-CA"/>
              </w:rPr>
              <w:t xml:space="preserve">the organization provided </w:t>
            </w:r>
            <w:r w:rsidR="00495EF9" w:rsidRPr="00AF18A2">
              <w:rPr>
                <w:rFonts w:ascii="Arial" w:hAnsi="Arial" w:cs="Arial"/>
                <w:lang w:val="en-CA"/>
              </w:rPr>
              <w:t xml:space="preserve">each </w:t>
            </w:r>
            <w:r w:rsidR="00DF2FCD" w:rsidRPr="00AF18A2">
              <w:rPr>
                <w:rFonts w:ascii="Arial" w:hAnsi="Arial" w:cs="Arial"/>
                <w:lang w:val="en-CA"/>
              </w:rPr>
              <w:t xml:space="preserve">new hire </w:t>
            </w:r>
            <w:r w:rsidR="00B513BF" w:rsidRPr="00AF18A2">
              <w:rPr>
                <w:rFonts w:ascii="Arial" w:hAnsi="Arial" w:cs="Arial"/>
                <w:lang w:val="en-CA"/>
              </w:rPr>
              <w:t xml:space="preserve">with </w:t>
            </w:r>
            <w:r w:rsidR="00DF2FCD" w:rsidRPr="00AF18A2">
              <w:rPr>
                <w:rFonts w:ascii="Arial" w:hAnsi="Arial" w:cs="Arial"/>
                <w:lang w:val="en-CA"/>
              </w:rPr>
              <w:t>a copy of the policy within 30 calendar days of th</w:t>
            </w:r>
            <w:r w:rsidR="00B513BF" w:rsidRPr="00AF18A2">
              <w:rPr>
                <w:rFonts w:ascii="Arial" w:hAnsi="Arial" w:cs="Arial"/>
                <w:lang w:val="en-CA"/>
              </w:rPr>
              <w:t>e employee’s</w:t>
            </w:r>
            <w:r w:rsidR="00DF2FCD" w:rsidRPr="00AF18A2">
              <w:rPr>
                <w:rFonts w:ascii="Arial" w:hAnsi="Arial" w:cs="Arial"/>
                <w:lang w:val="en-CA"/>
              </w:rPr>
              <w:t xml:space="preserve"> start date</w:t>
            </w:r>
            <w:r w:rsidR="00495EF9" w:rsidRPr="00AF18A2">
              <w:rPr>
                <w:rFonts w:ascii="Arial" w:hAnsi="Arial" w:cs="Arial"/>
                <w:lang w:val="en-CA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7E94A" w14:textId="77777777" w:rsidR="00B64088" w:rsidRPr="00AF18A2" w:rsidRDefault="00B64088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4088" w:rsidRPr="00AF18A2" w14:paraId="6AF637A3" w14:textId="77777777" w:rsidTr="00AF18A2">
        <w:trPr>
          <w:cantSplit/>
        </w:trPr>
        <w:tc>
          <w:tcPr>
            <w:tcW w:w="657" w:type="dxa"/>
            <w:shd w:val="clear" w:color="auto" w:fill="auto"/>
            <w:vAlign w:val="center"/>
          </w:tcPr>
          <w:p w14:paraId="377FA2EC" w14:textId="77777777" w:rsidR="00B64088" w:rsidRPr="00AF18A2" w:rsidRDefault="00B64088" w:rsidP="00AF18A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69A1612" w14:textId="77777777" w:rsidR="00B64088" w:rsidRPr="00AF18A2" w:rsidRDefault="00B64088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6E1F88C0" w14:textId="78A64F65" w:rsidR="00B64088" w:rsidRPr="00AF18A2" w:rsidRDefault="00230C21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 xml:space="preserve">Has the </w:t>
            </w:r>
            <w:r w:rsidR="0084206E" w:rsidRPr="00AF18A2">
              <w:rPr>
                <w:rFonts w:ascii="Arial" w:hAnsi="Arial" w:cs="Arial"/>
                <w:lang w:val="en-CA"/>
              </w:rPr>
              <w:t xml:space="preserve">organization provided the </w:t>
            </w:r>
            <w:r w:rsidRPr="00AF18A2">
              <w:rPr>
                <w:rFonts w:ascii="Arial" w:hAnsi="Arial" w:cs="Arial"/>
                <w:lang w:val="en-CA"/>
              </w:rPr>
              <w:t xml:space="preserve">policy </w:t>
            </w:r>
            <w:r w:rsidR="00495EF9" w:rsidRPr="00AF18A2">
              <w:rPr>
                <w:rFonts w:ascii="Arial" w:hAnsi="Arial" w:cs="Arial"/>
                <w:lang w:val="en-CA"/>
              </w:rPr>
              <w:t>to employees</w:t>
            </w:r>
            <w:r w:rsidRPr="00AF18A2">
              <w:rPr>
                <w:rFonts w:ascii="Arial" w:hAnsi="Arial" w:cs="Arial"/>
                <w:lang w:val="en-CA"/>
              </w:rPr>
              <w:t xml:space="preserve"> in </w:t>
            </w:r>
            <w:r w:rsidR="0084206E" w:rsidRPr="00AF18A2">
              <w:rPr>
                <w:rFonts w:ascii="Arial" w:hAnsi="Arial" w:cs="Arial"/>
                <w:lang w:val="en-CA"/>
              </w:rPr>
              <w:t>an appropriate format?</w:t>
            </w:r>
          </w:p>
          <w:p w14:paraId="5E285077" w14:textId="77777777" w:rsidR="00230C21" w:rsidRPr="00AF18A2" w:rsidRDefault="00230C21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</w:p>
          <w:p w14:paraId="504D7E50" w14:textId="60583D0F" w:rsidR="008724B7" w:rsidRPr="00AF18A2" w:rsidRDefault="00230C21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For example, the organization may provide the policy in hard copy,</w:t>
            </w:r>
            <w:r w:rsidR="00ED4B29" w:rsidRPr="00AF18A2">
              <w:rPr>
                <w:rFonts w:ascii="Arial" w:hAnsi="Arial" w:cs="Arial"/>
                <w:lang w:val="en-CA"/>
              </w:rPr>
              <w:t xml:space="preserve"> or</w:t>
            </w:r>
            <w:r w:rsidRPr="00AF18A2">
              <w:rPr>
                <w:rFonts w:ascii="Arial" w:hAnsi="Arial" w:cs="Arial"/>
                <w:lang w:val="en-CA"/>
              </w:rPr>
              <w:t xml:space="preserve"> attached to an email </w:t>
            </w:r>
            <w:r w:rsidR="00F11A19" w:rsidRPr="00AF18A2">
              <w:rPr>
                <w:rFonts w:ascii="Arial" w:hAnsi="Arial" w:cs="Arial"/>
                <w:lang w:val="en-CA"/>
              </w:rPr>
              <w:t xml:space="preserve">or posted to the intranet </w:t>
            </w:r>
            <w:r w:rsidRPr="00AF18A2">
              <w:rPr>
                <w:rFonts w:ascii="Arial" w:hAnsi="Arial" w:cs="Arial"/>
                <w:lang w:val="en-CA"/>
              </w:rPr>
              <w:t xml:space="preserve">so </w:t>
            </w:r>
            <w:r w:rsidR="00F11A19" w:rsidRPr="00AF18A2">
              <w:rPr>
                <w:rFonts w:ascii="Arial" w:hAnsi="Arial" w:cs="Arial"/>
                <w:lang w:val="en-CA"/>
              </w:rPr>
              <w:t xml:space="preserve">that </w:t>
            </w:r>
            <w:r w:rsidRPr="00AF18A2">
              <w:rPr>
                <w:rFonts w:ascii="Arial" w:hAnsi="Arial" w:cs="Arial"/>
                <w:lang w:val="en-CA"/>
              </w:rPr>
              <w:t>the employee can print it</w:t>
            </w:r>
            <w:r w:rsidR="00F11A19" w:rsidRPr="00AF18A2">
              <w:rPr>
                <w:rFonts w:ascii="Arial" w:hAnsi="Arial" w:cs="Arial"/>
                <w:lang w:val="en-CA"/>
              </w:rPr>
              <w:t>.</w:t>
            </w:r>
            <w:r w:rsidR="00495EF9" w:rsidRPr="00AF18A2">
              <w:rPr>
                <w:rFonts w:ascii="Arial" w:hAnsi="Arial" w:cs="Arial"/>
                <w:lang w:val="en-CA"/>
              </w:rPr>
              <w:t xml:space="preserve"> </w:t>
            </w:r>
            <w:r w:rsidR="002A55D8" w:rsidRPr="00AF18A2">
              <w:rPr>
                <w:rFonts w:ascii="Arial" w:hAnsi="Arial" w:cs="Arial"/>
                <w:lang w:val="en-CA"/>
              </w:rPr>
              <w:t>If the organization does not provide the policy in hard copy, it must ensure that employees have access to a printer and know how to use it.</w:t>
            </w:r>
            <w:r w:rsidR="008724B7" w:rsidRPr="00AF18A2">
              <w:rPr>
                <w:rFonts w:ascii="Arial" w:hAnsi="Arial" w:cs="Arial"/>
                <w:lang w:val="en-CA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3B1BB" w14:textId="77777777" w:rsidR="00B64088" w:rsidRPr="00AF18A2" w:rsidRDefault="00B64088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02EE" w:rsidRPr="00AF18A2" w14:paraId="5CA53C1B" w14:textId="77777777" w:rsidTr="00AF18A2">
        <w:trPr>
          <w:cantSplit/>
        </w:trPr>
        <w:tc>
          <w:tcPr>
            <w:tcW w:w="657" w:type="dxa"/>
            <w:shd w:val="clear" w:color="auto" w:fill="auto"/>
            <w:vAlign w:val="center"/>
          </w:tcPr>
          <w:p w14:paraId="4B9CC966" w14:textId="77777777" w:rsidR="007D02EE" w:rsidRPr="00AF18A2" w:rsidRDefault="007D02EE" w:rsidP="00AF18A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8E72E30" w14:textId="77777777" w:rsidR="007D02EE" w:rsidRPr="00AF18A2" w:rsidRDefault="007D02EE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1C4EF462" w14:textId="1691290A" w:rsidR="007D02EE" w:rsidRPr="00AF18A2" w:rsidRDefault="007D02EE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 xml:space="preserve">Has the organization </w:t>
            </w:r>
            <w:r w:rsidR="00F209C8" w:rsidRPr="00AF18A2">
              <w:rPr>
                <w:rFonts w:ascii="Arial" w:hAnsi="Arial" w:cs="Arial"/>
                <w:lang w:val="en-CA"/>
              </w:rPr>
              <w:t>assessed</w:t>
            </w:r>
            <w:r w:rsidRPr="00AF18A2">
              <w:rPr>
                <w:rFonts w:ascii="Arial" w:hAnsi="Arial" w:cs="Arial"/>
                <w:lang w:val="en-CA"/>
              </w:rPr>
              <w:t xml:space="preserve"> whether the right to disconnect policy provides a greater right or benefit than the ESA?</w:t>
            </w:r>
          </w:p>
          <w:p w14:paraId="14BF5CFA" w14:textId="77777777" w:rsidR="007D02EE" w:rsidRPr="00AF18A2" w:rsidRDefault="007D02EE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</w:p>
          <w:p w14:paraId="281D53F0" w14:textId="342B4403" w:rsidR="007D02EE" w:rsidRPr="00AF18A2" w:rsidRDefault="007D02EE" w:rsidP="00AF18A2">
            <w:pPr>
              <w:pStyle w:val="FAPPIntroPara"/>
              <w:tabs>
                <w:tab w:val="left" w:pos="6150"/>
              </w:tabs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 xml:space="preserve">If </w:t>
            </w:r>
            <w:r w:rsidR="004D5274" w:rsidRPr="00AF18A2">
              <w:rPr>
                <w:rFonts w:ascii="Arial" w:hAnsi="Arial" w:cs="Arial"/>
                <w:lang w:val="en-CA"/>
              </w:rPr>
              <w:t>the answer to the above is “N</w:t>
            </w:r>
            <w:r w:rsidRPr="00AF18A2">
              <w:rPr>
                <w:rFonts w:ascii="Arial" w:hAnsi="Arial" w:cs="Arial"/>
                <w:lang w:val="en-CA"/>
              </w:rPr>
              <w:t>o</w:t>
            </w:r>
            <w:r w:rsidR="009E40D2">
              <w:rPr>
                <w:rFonts w:ascii="Arial" w:hAnsi="Arial" w:cs="Arial"/>
                <w:lang w:val="en-CA"/>
              </w:rPr>
              <w:t>,</w:t>
            </w:r>
            <w:r w:rsidR="004D5274" w:rsidRPr="00AF18A2">
              <w:rPr>
                <w:rFonts w:ascii="Arial" w:hAnsi="Arial" w:cs="Arial"/>
                <w:lang w:val="en-CA"/>
              </w:rPr>
              <w:t>”</w:t>
            </w:r>
            <w:r w:rsidRPr="00AF18A2">
              <w:rPr>
                <w:rFonts w:ascii="Arial" w:hAnsi="Arial" w:cs="Arial"/>
                <w:lang w:val="en-CA"/>
              </w:rPr>
              <w:t xml:space="preserve"> the organization should make this assessment. </w:t>
            </w:r>
            <w:r w:rsidRPr="00AF18A2">
              <w:rPr>
                <w:rFonts w:ascii="Arial" w:hAnsi="Arial" w:cs="Arial"/>
                <w:lang w:val="en-CA"/>
              </w:rPr>
              <w:tab/>
            </w:r>
          </w:p>
          <w:p w14:paraId="486E4C25" w14:textId="77777777" w:rsidR="007D02EE" w:rsidRPr="00AF18A2" w:rsidRDefault="007D02EE" w:rsidP="00AF18A2">
            <w:pPr>
              <w:pStyle w:val="FAPPIntroPara"/>
              <w:tabs>
                <w:tab w:val="left" w:pos="6150"/>
              </w:tabs>
              <w:ind w:left="0"/>
              <w:rPr>
                <w:rFonts w:ascii="Arial" w:hAnsi="Arial" w:cs="Arial"/>
                <w:lang w:val="en-CA"/>
              </w:rPr>
            </w:pPr>
          </w:p>
          <w:p w14:paraId="4A6BF8F7" w14:textId="070A48D1" w:rsidR="007D02EE" w:rsidRPr="00AF18A2" w:rsidRDefault="004D5274" w:rsidP="00AF18A2">
            <w:pPr>
              <w:pStyle w:val="FAPPIntroPara"/>
              <w:tabs>
                <w:tab w:val="left" w:pos="6150"/>
              </w:tabs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 xml:space="preserve">The organization </w:t>
            </w:r>
            <w:r w:rsidR="007D02EE" w:rsidRPr="00AF18A2">
              <w:rPr>
                <w:rFonts w:ascii="Arial" w:hAnsi="Arial" w:cs="Arial"/>
                <w:lang w:val="en-CA"/>
              </w:rPr>
              <w:t xml:space="preserve">should remain alert to instances where </w:t>
            </w:r>
            <w:r w:rsidR="00381AF2" w:rsidRPr="00AF18A2">
              <w:rPr>
                <w:rFonts w:ascii="Arial" w:hAnsi="Arial" w:cs="Arial"/>
                <w:lang w:val="en-CA"/>
              </w:rPr>
              <w:t>the disconnecting</w:t>
            </w:r>
            <w:r w:rsidR="007D02EE" w:rsidRPr="00AF18A2">
              <w:rPr>
                <w:rFonts w:ascii="Arial" w:hAnsi="Arial" w:cs="Arial"/>
                <w:lang w:val="en-CA"/>
              </w:rPr>
              <w:t xml:space="preserve"> from work policy provides greater </w:t>
            </w:r>
            <w:r w:rsidR="004E64E3" w:rsidRPr="00AF18A2">
              <w:rPr>
                <w:rFonts w:ascii="Arial" w:hAnsi="Arial" w:cs="Arial"/>
                <w:lang w:val="en-CA"/>
              </w:rPr>
              <w:t xml:space="preserve">benefits or </w:t>
            </w:r>
            <w:r w:rsidR="007D02EE" w:rsidRPr="00AF18A2">
              <w:rPr>
                <w:rFonts w:ascii="Arial" w:hAnsi="Arial" w:cs="Arial"/>
                <w:lang w:val="en-CA"/>
              </w:rPr>
              <w:t xml:space="preserve">rights than the ESA requires—the greater rights </w:t>
            </w:r>
            <w:r w:rsidR="004E64E3" w:rsidRPr="00AF18A2">
              <w:rPr>
                <w:rFonts w:ascii="Arial" w:hAnsi="Arial" w:cs="Arial"/>
                <w:lang w:val="en-CA"/>
              </w:rPr>
              <w:t xml:space="preserve">and benefits </w:t>
            </w:r>
            <w:r w:rsidR="007D02EE" w:rsidRPr="00AF18A2">
              <w:rPr>
                <w:rFonts w:ascii="Arial" w:hAnsi="Arial" w:cs="Arial"/>
                <w:lang w:val="en-CA"/>
              </w:rPr>
              <w:t>are enforceable at common law and</w:t>
            </w:r>
            <w:r w:rsidR="00D212F7" w:rsidRPr="00AF18A2">
              <w:rPr>
                <w:rFonts w:ascii="Arial" w:hAnsi="Arial" w:cs="Arial"/>
                <w:lang w:val="en-CA"/>
              </w:rPr>
              <w:t>,</w:t>
            </w:r>
            <w:r w:rsidR="007D02EE" w:rsidRPr="00AF18A2">
              <w:rPr>
                <w:rFonts w:ascii="Arial" w:hAnsi="Arial" w:cs="Arial"/>
                <w:lang w:val="en-CA"/>
              </w:rPr>
              <w:t xml:space="preserve"> as explained below, under the ESA. </w:t>
            </w:r>
          </w:p>
          <w:p w14:paraId="2B3AE72F" w14:textId="77777777" w:rsidR="007D02EE" w:rsidRPr="00AF18A2" w:rsidRDefault="007D02EE" w:rsidP="00AF18A2">
            <w:pPr>
              <w:pStyle w:val="OverviewParamainbullet"/>
              <w:spacing w:line="240" w:lineRule="auto"/>
              <w:ind w:left="720" w:firstLine="0"/>
              <w:rPr>
                <w:rFonts w:ascii="Arial" w:hAnsi="Arial" w:cs="Arial"/>
                <w:szCs w:val="24"/>
              </w:rPr>
            </w:pPr>
          </w:p>
          <w:p w14:paraId="0DC3CC8B" w14:textId="0B45BE77" w:rsidR="007D02EE" w:rsidRPr="00AF18A2" w:rsidRDefault="007D02EE" w:rsidP="00AF18A2">
            <w:pPr>
              <w:pStyle w:val="FAPPIntroPara"/>
              <w:tabs>
                <w:tab w:val="left" w:pos="6150"/>
              </w:tabs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 xml:space="preserve">One potential area where the right to disconnect policy or contract may provide greater </w:t>
            </w:r>
            <w:r w:rsidR="00337A77" w:rsidRPr="00AF18A2">
              <w:rPr>
                <w:rFonts w:ascii="Arial" w:hAnsi="Arial" w:cs="Arial"/>
                <w:lang w:val="en-CA"/>
              </w:rPr>
              <w:t xml:space="preserve">rights and </w:t>
            </w:r>
            <w:r w:rsidRPr="00AF18A2">
              <w:rPr>
                <w:rFonts w:ascii="Arial" w:hAnsi="Arial" w:cs="Arial"/>
                <w:lang w:val="en-CA"/>
              </w:rPr>
              <w:t xml:space="preserve">benefits than those available under the ESA relates to standby hours and when the </w:t>
            </w:r>
            <w:hyperlink r:id="rId8" w:history="1">
              <w:r w:rsidR="004D5274" w:rsidRPr="00AF18A2">
                <w:rPr>
                  <w:rStyle w:val="Hyperlink"/>
                  <w:rFonts w:ascii="Arial" w:hAnsi="Arial" w:cs="Arial"/>
                  <w:color w:val="0000FF"/>
                  <w:u w:val="none"/>
                </w:rPr>
                <w:t>Exemptions, Special Rules and Establishment of Minimum Wage, O Reg 285/01 (O Reg 285/01)</w:t>
              </w:r>
            </w:hyperlink>
            <w:r w:rsidR="004D5274" w:rsidRPr="00AF18A2">
              <w:rPr>
                <w:rFonts w:ascii="Arial" w:hAnsi="Arial" w:cs="Arial"/>
              </w:rPr>
              <w:t xml:space="preserve"> </w:t>
            </w:r>
            <w:r w:rsidRPr="00AF18A2">
              <w:rPr>
                <w:rFonts w:ascii="Arial" w:hAnsi="Arial" w:cs="Arial"/>
                <w:lang w:val="en-CA"/>
              </w:rPr>
              <w:t xml:space="preserve">deems work to be performed. For example, under </w:t>
            </w:r>
            <w:r w:rsidR="00337A77" w:rsidRPr="00AF18A2">
              <w:rPr>
                <w:rFonts w:ascii="Arial" w:hAnsi="Arial" w:cs="Arial"/>
                <w:lang w:val="en-CA"/>
              </w:rPr>
              <w:t xml:space="preserve">section 2(b) of </w:t>
            </w:r>
            <w:r w:rsidRPr="00AF18A2">
              <w:rPr>
                <w:rFonts w:ascii="Arial" w:hAnsi="Arial" w:cs="Arial"/>
                <w:lang w:val="en-CA"/>
              </w:rPr>
              <w:t>O Reg 285/01,</w:t>
            </w:r>
            <w:r w:rsidR="00337A77" w:rsidRPr="00AF18A2">
              <w:rPr>
                <w:rFonts w:ascii="Arial" w:hAnsi="Arial" w:cs="Arial"/>
                <w:lang w:val="en-CA"/>
              </w:rPr>
              <w:t xml:space="preserve"> </w:t>
            </w:r>
            <w:r w:rsidRPr="00AF18A2">
              <w:rPr>
                <w:rFonts w:ascii="Arial" w:hAnsi="Arial" w:cs="Arial"/>
                <w:lang w:val="en-CA"/>
              </w:rPr>
              <w:t xml:space="preserve">employees are </w:t>
            </w:r>
            <w:r w:rsidR="00337A77" w:rsidRPr="00AF18A2">
              <w:rPr>
                <w:rFonts w:ascii="Arial" w:hAnsi="Arial" w:cs="Arial"/>
                <w:lang w:val="en-CA"/>
              </w:rPr>
              <w:t xml:space="preserve">not performing work if they are not </w:t>
            </w:r>
            <w:r w:rsidRPr="00AF18A2">
              <w:rPr>
                <w:rFonts w:ascii="Arial" w:hAnsi="Arial" w:cs="Arial"/>
                <w:lang w:val="en-CA"/>
              </w:rPr>
              <w:t xml:space="preserve">at the place of employment </w:t>
            </w:r>
            <w:r w:rsidR="00337A77" w:rsidRPr="00AF18A2">
              <w:rPr>
                <w:rFonts w:ascii="Arial" w:hAnsi="Arial" w:cs="Arial"/>
                <w:lang w:val="en-CA"/>
              </w:rPr>
              <w:t xml:space="preserve">and are </w:t>
            </w:r>
            <w:r w:rsidRPr="00AF18A2">
              <w:rPr>
                <w:rFonts w:ascii="Arial" w:hAnsi="Arial" w:cs="Arial"/>
                <w:lang w:val="en-CA"/>
              </w:rPr>
              <w:t xml:space="preserve">waiting or holding themselves ready for </w:t>
            </w:r>
            <w:r w:rsidR="00337A77" w:rsidRPr="00AF18A2">
              <w:rPr>
                <w:rFonts w:ascii="Arial" w:hAnsi="Arial" w:cs="Arial"/>
                <w:lang w:val="en-CA"/>
              </w:rPr>
              <w:t xml:space="preserve">a </w:t>
            </w:r>
            <w:r w:rsidRPr="00AF18A2">
              <w:rPr>
                <w:rFonts w:ascii="Arial" w:hAnsi="Arial" w:cs="Arial"/>
                <w:lang w:val="en-CA"/>
              </w:rPr>
              <w:t xml:space="preserve">call to work. </w:t>
            </w:r>
          </w:p>
          <w:p w14:paraId="2B8ABB80" w14:textId="77777777" w:rsidR="007D02EE" w:rsidRPr="00AF18A2" w:rsidRDefault="007D02EE" w:rsidP="00AF18A2">
            <w:pPr>
              <w:pStyle w:val="OverviewParamainbullet"/>
              <w:spacing w:line="240" w:lineRule="auto"/>
              <w:ind w:left="720" w:firstLine="0"/>
              <w:rPr>
                <w:rFonts w:ascii="Arial" w:hAnsi="Arial" w:cs="Arial"/>
                <w:szCs w:val="24"/>
              </w:rPr>
            </w:pPr>
          </w:p>
          <w:p w14:paraId="37E3C300" w14:textId="16048C9A" w:rsidR="007D02EE" w:rsidRPr="00AF18A2" w:rsidRDefault="007D02EE" w:rsidP="00AF18A2">
            <w:pPr>
              <w:pStyle w:val="FAPPIntroPara"/>
              <w:tabs>
                <w:tab w:val="left" w:pos="6150"/>
              </w:tabs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Consequently, if th</w:t>
            </w:r>
            <w:r w:rsidR="00361036" w:rsidRPr="00AF18A2">
              <w:rPr>
                <w:rFonts w:ascii="Arial" w:hAnsi="Arial" w:cs="Arial"/>
                <w:lang w:val="en-CA"/>
              </w:rPr>
              <w:t>e</w:t>
            </w:r>
            <w:r w:rsidRPr="00AF18A2">
              <w:rPr>
                <w:rFonts w:ascii="Arial" w:hAnsi="Arial" w:cs="Arial"/>
                <w:lang w:val="en-CA"/>
              </w:rPr>
              <w:t xml:space="preserve"> policy, collective agreement or employment contract provides greater rights than the ESA, the policy </w:t>
            </w:r>
            <w:r w:rsidR="00361036" w:rsidRPr="00AF18A2">
              <w:rPr>
                <w:rFonts w:ascii="Arial" w:hAnsi="Arial" w:cs="Arial"/>
                <w:lang w:val="en-CA"/>
              </w:rPr>
              <w:t xml:space="preserve">may be </w:t>
            </w:r>
            <w:r w:rsidRPr="00AF18A2">
              <w:rPr>
                <w:rFonts w:ascii="Arial" w:hAnsi="Arial" w:cs="Arial"/>
                <w:lang w:val="en-CA"/>
              </w:rPr>
              <w:t>enforceable</w:t>
            </w:r>
            <w:r w:rsidR="00361036" w:rsidRPr="00AF18A2">
              <w:rPr>
                <w:rFonts w:ascii="Arial" w:hAnsi="Arial" w:cs="Arial"/>
                <w:lang w:val="en-CA"/>
              </w:rPr>
              <w:t xml:space="preserve"> under the ESA.</w:t>
            </w:r>
            <w:r w:rsidRPr="00AF18A2">
              <w:rPr>
                <w:rFonts w:ascii="Arial" w:hAnsi="Arial" w:cs="Arial"/>
                <w:lang w:val="en-CA"/>
              </w:rPr>
              <w:t xml:space="preserve"> If this policy does not provide greater right</w:t>
            </w:r>
            <w:r w:rsidR="00361036" w:rsidRPr="00AF18A2">
              <w:rPr>
                <w:rFonts w:ascii="Arial" w:hAnsi="Arial" w:cs="Arial"/>
                <w:lang w:val="en-CA"/>
              </w:rPr>
              <w:t>s</w:t>
            </w:r>
            <w:r w:rsidRPr="00AF18A2">
              <w:rPr>
                <w:rFonts w:ascii="Arial" w:hAnsi="Arial" w:cs="Arial"/>
                <w:lang w:val="en-CA"/>
              </w:rPr>
              <w:t xml:space="preserve"> than the ESA, the policy </w:t>
            </w:r>
            <w:r w:rsidR="00361036" w:rsidRPr="00AF18A2">
              <w:rPr>
                <w:rFonts w:ascii="Arial" w:hAnsi="Arial" w:cs="Arial"/>
                <w:lang w:val="en-CA"/>
              </w:rPr>
              <w:t>may</w:t>
            </w:r>
            <w:r w:rsidRPr="00AF18A2">
              <w:rPr>
                <w:rFonts w:ascii="Arial" w:hAnsi="Arial" w:cs="Arial"/>
                <w:lang w:val="en-CA"/>
              </w:rPr>
              <w:t xml:space="preserve"> not </w:t>
            </w:r>
            <w:r w:rsidR="00361036" w:rsidRPr="00AF18A2">
              <w:rPr>
                <w:rFonts w:ascii="Arial" w:hAnsi="Arial" w:cs="Arial"/>
                <w:lang w:val="en-CA"/>
              </w:rPr>
              <w:t xml:space="preserve">be </w:t>
            </w:r>
            <w:r w:rsidRPr="00AF18A2">
              <w:rPr>
                <w:rFonts w:ascii="Arial" w:hAnsi="Arial" w:cs="Arial"/>
                <w:lang w:val="en-CA"/>
              </w:rPr>
              <w:t xml:space="preserve">enforceable under the ESA.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CAF7E" w14:textId="77777777" w:rsidR="007D02EE" w:rsidRPr="00AF18A2" w:rsidRDefault="007D02EE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A5DA1" w:rsidRPr="00AF18A2" w14:paraId="63E9F0CE" w14:textId="77777777" w:rsidTr="00AF18A2">
        <w:trPr>
          <w:cantSplit/>
        </w:trPr>
        <w:tc>
          <w:tcPr>
            <w:tcW w:w="657" w:type="dxa"/>
            <w:shd w:val="clear" w:color="auto" w:fill="auto"/>
            <w:vAlign w:val="center"/>
          </w:tcPr>
          <w:p w14:paraId="7124B14C" w14:textId="77777777" w:rsidR="007A5DA1" w:rsidRPr="00AF18A2" w:rsidRDefault="007A5DA1" w:rsidP="00AF18A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7B2AFD7" w14:textId="77777777" w:rsidR="007A5DA1" w:rsidRPr="00AF18A2" w:rsidRDefault="007A5DA1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502713C5" w14:textId="3D8EF836" w:rsidR="007A5DA1" w:rsidRPr="00AF18A2" w:rsidRDefault="007A5DA1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Ha</w:t>
            </w:r>
            <w:r w:rsidR="007309FF" w:rsidRPr="00AF18A2">
              <w:rPr>
                <w:rFonts w:ascii="Arial" w:hAnsi="Arial" w:cs="Arial"/>
                <w:lang w:val="en-CA"/>
              </w:rPr>
              <w:t xml:space="preserve">ve you provided the policy to </w:t>
            </w:r>
            <w:r w:rsidRPr="00AF18A2">
              <w:rPr>
                <w:rFonts w:ascii="Arial" w:hAnsi="Arial" w:cs="Arial"/>
                <w:lang w:val="en-CA"/>
              </w:rPr>
              <w:t>employees in the proper format?</w:t>
            </w:r>
          </w:p>
          <w:p w14:paraId="062E5E3D" w14:textId="77777777" w:rsidR="007A5DA1" w:rsidRPr="00AF18A2" w:rsidRDefault="007A5DA1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</w:p>
          <w:p w14:paraId="0D108F12" w14:textId="4792AE5C" w:rsidR="007A5DA1" w:rsidRPr="00AF18A2" w:rsidRDefault="007A5DA1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For example, the organization may provide the policy in hard copy, attached to an email</w:t>
            </w:r>
            <w:r w:rsidR="004A34E8" w:rsidRPr="00AF18A2">
              <w:rPr>
                <w:rFonts w:ascii="Arial" w:hAnsi="Arial" w:cs="Arial"/>
                <w:lang w:val="en-CA"/>
              </w:rPr>
              <w:t>,</w:t>
            </w:r>
            <w:r w:rsidRPr="00AF18A2">
              <w:rPr>
                <w:rFonts w:ascii="Arial" w:hAnsi="Arial" w:cs="Arial"/>
                <w:lang w:val="en-CA"/>
              </w:rPr>
              <w:t xml:space="preserve"> </w:t>
            </w:r>
            <w:r w:rsidR="007309FF" w:rsidRPr="00AF18A2">
              <w:rPr>
                <w:rFonts w:ascii="Arial" w:hAnsi="Arial" w:cs="Arial"/>
                <w:lang w:val="en-CA"/>
              </w:rPr>
              <w:t xml:space="preserve">or posted to the intranet </w:t>
            </w:r>
            <w:r w:rsidRPr="00AF18A2">
              <w:rPr>
                <w:rFonts w:ascii="Arial" w:hAnsi="Arial" w:cs="Arial"/>
                <w:lang w:val="en-CA"/>
              </w:rPr>
              <w:t>so</w:t>
            </w:r>
            <w:r w:rsidR="007309FF" w:rsidRPr="00AF18A2">
              <w:rPr>
                <w:rFonts w:ascii="Arial" w:hAnsi="Arial" w:cs="Arial"/>
                <w:lang w:val="en-CA"/>
              </w:rPr>
              <w:t xml:space="preserve"> that</w:t>
            </w:r>
            <w:r w:rsidRPr="00AF18A2">
              <w:rPr>
                <w:rFonts w:ascii="Arial" w:hAnsi="Arial" w:cs="Arial"/>
                <w:lang w:val="en-CA"/>
              </w:rPr>
              <w:t xml:space="preserve"> the employee can print it. If the organization does not provide the policy in hard copy, it must ensure that employees have access to a printer and know how to use it.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D4F59" w14:textId="77777777" w:rsidR="007A5DA1" w:rsidRPr="00AF18A2" w:rsidRDefault="007A5DA1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A5DA1" w:rsidRPr="00AF18A2" w14:paraId="14AC0823" w14:textId="77777777" w:rsidTr="00AF18A2">
        <w:trPr>
          <w:cantSplit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6BFAEEE7" w14:textId="6137E506" w:rsidR="007A5DA1" w:rsidRPr="00AF18A2" w:rsidRDefault="007A5DA1" w:rsidP="00AF18A2">
            <w:pPr>
              <w:pStyle w:val="Heading1"/>
              <w:spacing w:before="0" w:after="0"/>
              <w:jc w:val="center"/>
              <w:rPr>
                <w:rFonts w:eastAsia="Calibri"/>
              </w:rPr>
            </w:pPr>
            <w:bookmarkStart w:id="3" w:name="_Toc97611786"/>
            <w:r w:rsidRPr="00AF18A2">
              <w:rPr>
                <w:sz w:val="24"/>
                <w:szCs w:val="24"/>
                <w:lang w:val="en-CA"/>
              </w:rPr>
              <w:t>Changes to the Policy</w:t>
            </w:r>
            <w:bookmarkEnd w:id="3"/>
            <w:r w:rsidRPr="00AF18A2">
              <w:rPr>
                <w:sz w:val="24"/>
                <w:szCs w:val="24"/>
                <w:lang w:val="en-CA"/>
              </w:rPr>
              <w:t xml:space="preserve"> </w:t>
            </w:r>
          </w:p>
        </w:tc>
      </w:tr>
      <w:tr w:rsidR="007A5DA1" w:rsidRPr="00AF18A2" w14:paraId="31CC9526" w14:textId="77777777" w:rsidTr="00AF18A2">
        <w:trPr>
          <w:cantSplit/>
        </w:trPr>
        <w:tc>
          <w:tcPr>
            <w:tcW w:w="657" w:type="dxa"/>
            <w:shd w:val="clear" w:color="auto" w:fill="auto"/>
            <w:vAlign w:val="center"/>
          </w:tcPr>
          <w:p w14:paraId="26C0DB3E" w14:textId="77777777" w:rsidR="007A5DA1" w:rsidRPr="00AF18A2" w:rsidRDefault="007A5DA1" w:rsidP="00AF18A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FA799A9" w14:textId="77777777" w:rsidR="007A5DA1" w:rsidRPr="00AF18A2" w:rsidRDefault="007A5DA1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120D58CD" w14:textId="6E9F6787" w:rsidR="007A5DA1" w:rsidRPr="00AF18A2" w:rsidRDefault="007A5DA1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Have there been changes to the disconnecting from work policy?</w:t>
            </w:r>
          </w:p>
          <w:p w14:paraId="2A5F4E38" w14:textId="77777777" w:rsidR="007A5DA1" w:rsidRPr="00AF18A2" w:rsidRDefault="007A5DA1" w:rsidP="00AF18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25147CFA" w14:textId="30983917" w:rsidR="007A5DA1" w:rsidRPr="00AF18A2" w:rsidRDefault="007A5DA1" w:rsidP="00AF18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AF18A2">
              <w:rPr>
                <w:rFonts w:ascii="Arial" w:hAnsi="Arial" w:cs="Arial"/>
                <w:sz w:val="24"/>
                <w:szCs w:val="24"/>
                <w:lang w:val="en-CA"/>
              </w:rPr>
              <w:t>If yes, employees must receive an updated copy of the policy</w:t>
            </w:r>
            <w:r w:rsidR="00D212F7" w:rsidRPr="00AF18A2">
              <w:rPr>
                <w:rFonts w:ascii="Arial" w:hAnsi="Arial" w:cs="Arial"/>
                <w:sz w:val="24"/>
                <w:szCs w:val="24"/>
                <w:lang w:val="en-CA"/>
              </w:rPr>
              <w:t>,</w:t>
            </w:r>
            <w:r w:rsidRPr="00AF18A2">
              <w:rPr>
                <w:rFonts w:ascii="Arial" w:hAnsi="Arial" w:cs="Arial"/>
                <w:sz w:val="24"/>
                <w:szCs w:val="24"/>
                <w:lang w:val="en-CA"/>
              </w:rPr>
              <w:t xml:space="preserve"> and other requirements apply. If there are no changes, there is no need to provide an updated policy.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B47C2" w14:textId="77777777" w:rsidR="007A5DA1" w:rsidRPr="00AF18A2" w:rsidRDefault="007A5DA1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A5DA1" w:rsidRPr="00AF18A2" w14:paraId="7EE008A3" w14:textId="77777777" w:rsidTr="00AF18A2">
        <w:trPr>
          <w:cantSplit/>
        </w:trPr>
        <w:tc>
          <w:tcPr>
            <w:tcW w:w="657" w:type="dxa"/>
            <w:shd w:val="clear" w:color="auto" w:fill="auto"/>
            <w:vAlign w:val="center"/>
          </w:tcPr>
          <w:p w14:paraId="1082AB13" w14:textId="77777777" w:rsidR="007A5DA1" w:rsidRPr="00AF18A2" w:rsidRDefault="007A5DA1" w:rsidP="00AF18A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FE9AA53" w14:textId="77777777" w:rsidR="007A5DA1" w:rsidRPr="00AF18A2" w:rsidRDefault="007A5DA1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0267F9A9" w14:textId="5EC964FD" w:rsidR="007A5DA1" w:rsidRPr="00AF18A2" w:rsidRDefault="007A5DA1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Does the policy reflect the date the change was made?</w:t>
            </w:r>
          </w:p>
          <w:p w14:paraId="1EB7B2D3" w14:textId="77777777" w:rsidR="007A5DA1" w:rsidRPr="00AF18A2" w:rsidRDefault="007A5DA1" w:rsidP="00AF18A2">
            <w:pPr>
              <w:pStyle w:val="FAPPIntroPara"/>
              <w:ind w:left="0"/>
              <w:rPr>
                <w:rFonts w:ascii="Arial" w:eastAsia="Calibri" w:hAnsi="Arial" w:cs="Arial"/>
              </w:rPr>
            </w:pPr>
          </w:p>
          <w:p w14:paraId="22985CD9" w14:textId="3859FCB5" w:rsidR="007A5DA1" w:rsidRPr="00AF18A2" w:rsidRDefault="007A5DA1" w:rsidP="00AF18A2">
            <w:pPr>
              <w:pStyle w:val="FAPPIntroPara"/>
              <w:ind w:left="0"/>
              <w:rPr>
                <w:rFonts w:ascii="Arial" w:eastAsia="Calibri" w:hAnsi="Arial" w:cs="Arial"/>
              </w:rPr>
            </w:pPr>
            <w:r w:rsidRPr="00AF18A2">
              <w:rPr>
                <w:rFonts w:ascii="Arial" w:eastAsia="Calibri" w:hAnsi="Arial" w:cs="Arial"/>
              </w:rPr>
              <w:t xml:space="preserve">“No” means non-compliance with ESA requirements.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EC247" w14:textId="77777777" w:rsidR="007A5DA1" w:rsidRPr="00AF18A2" w:rsidRDefault="007A5DA1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A5DA1" w:rsidRPr="00AF18A2" w14:paraId="0C282775" w14:textId="77777777" w:rsidTr="00AF18A2">
        <w:trPr>
          <w:cantSplit/>
        </w:trPr>
        <w:tc>
          <w:tcPr>
            <w:tcW w:w="657" w:type="dxa"/>
            <w:shd w:val="clear" w:color="auto" w:fill="auto"/>
            <w:vAlign w:val="center"/>
          </w:tcPr>
          <w:p w14:paraId="73B8562A" w14:textId="77777777" w:rsidR="007A5DA1" w:rsidRPr="00AF18A2" w:rsidRDefault="007A5DA1" w:rsidP="00AF18A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1CE7A54" w14:textId="77777777" w:rsidR="007A5DA1" w:rsidRPr="00AF18A2" w:rsidRDefault="007A5DA1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4FB5A57B" w14:textId="216793CF" w:rsidR="007A5DA1" w:rsidRPr="00AF18A2" w:rsidRDefault="007A5DA1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Have you provided all existing employees with a copy of the revised policy within 30 days of changing the policy?</w:t>
            </w:r>
          </w:p>
          <w:p w14:paraId="1D9E4092" w14:textId="5B1FE8BE" w:rsidR="007A5DA1" w:rsidRPr="00AF18A2" w:rsidRDefault="007A5DA1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</w:p>
          <w:p w14:paraId="069A2CF0" w14:textId="6F408A50" w:rsidR="007A5DA1" w:rsidRPr="00AF18A2" w:rsidRDefault="007A5DA1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eastAsia="Calibri" w:hAnsi="Arial" w:cs="Arial"/>
              </w:rPr>
              <w:t xml:space="preserve">“No” means non-compliance with ESA requirements.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AB114" w14:textId="77777777" w:rsidR="007A5DA1" w:rsidRPr="00AF18A2" w:rsidRDefault="007A5DA1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A5DA1" w:rsidRPr="00AF18A2" w14:paraId="7E790680" w14:textId="77777777" w:rsidTr="00AF18A2">
        <w:trPr>
          <w:cantSplit/>
        </w:trPr>
        <w:tc>
          <w:tcPr>
            <w:tcW w:w="657" w:type="dxa"/>
            <w:shd w:val="clear" w:color="auto" w:fill="auto"/>
            <w:vAlign w:val="center"/>
          </w:tcPr>
          <w:p w14:paraId="06843A64" w14:textId="77777777" w:rsidR="007A5DA1" w:rsidRPr="00AF18A2" w:rsidRDefault="007A5DA1" w:rsidP="00AF18A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9C0D43D" w14:textId="77777777" w:rsidR="007A5DA1" w:rsidRPr="00AF18A2" w:rsidRDefault="007A5DA1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2382B0AE" w14:textId="24473861" w:rsidR="007A5DA1" w:rsidRPr="00AF18A2" w:rsidRDefault="007A5DA1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Have you provided each new hire with a copy of the changed policy within 30 calendar days of the employee’s start date?</w:t>
            </w:r>
          </w:p>
          <w:p w14:paraId="2BD57022" w14:textId="77777777" w:rsidR="007A5DA1" w:rsidRPr="00AF18A2" w:rsidRDefault="007A5DA1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</w:p>
          <w:p w14:paraId="159AEDB2" w14:textId="1A0701BF" w:rsidR="007A5DA1" w:rsidRPr="00AF18A2" w:rsidRDefault="007A5DA1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eastAsia="Calibri" w:hAnsi="Arial" w:cs="Arial"/>
              </w:rPr>
              <w:t xml:space="preserve">“No” means non-compliance with ESA requirements.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D8EB7" w14:textId="77777777" w:rsidR="007A5DA1" w:rsidRPr="00AF18A2" w:rsidRDefault="007A5DA1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A5DA1" w:rsidRPr="00AF18A2" w14:paraId="04A24C42" w14:textId="77777777" w:rsidTr="00AF18A2">
        <w:trPr>
          <w:cantSplit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5859B5DA" w14:textId="19DAB868" w:rsidR="007B6B5C" w:rsidRPr="00AF18A2" w:rsidRDefault="00C74255" w:rsidP="00AF18A2">
            <w:pPr>
              <w:pStyle w:val="Heading1"/>
              <w:shd w:val="clear" w:color="auto" w:fill="D9D9D9" w:themeFill="background1" w:themeFillShade="D9"/>
              <w:spacing w:before="0" w:after="0"/>
              <w:jc w:val="center"/>
            </w:pPr>
            <w:bookmarkStart w:id="4" w:name="_Toc97611787"/>
            <w:r w:rsidRPr="00AF18A2">
              <w:rPr>
                <w:sz w:val="24"/>
                <w:szCs w:val="24"/>
                <w:lang w:val="en-CA"/>
              </w:rPr>
              <w:t>Withdrawal or Retention of the Policy</w:t>
            </w:r>
            <w:bookmarkEnd w:id="4"/>
            <w:r w:rsidRPr="00AF18A2">
              <w:rPr>
                <w:sz w:val="24"/>
                <w:szCs w:val="24"/>
                <w:lang w:val="en-CA"/>
              </w:rPr>
              <w:t xml:space="preserve"> </w:t>
            </w:r>
          </w:p>
        </w:tc>
      </w:tr>
      <w:tr w:rsidR="007A5DA1" w:rsidRPr="00AF18A2" w14:paraId="11A37AC5" w14:textId="77777777" w:rsidTr="00AF18A2">
        <w:trPr>
          <w:cantSplit/>
        </w:trPr>
        <w:tc>
          <w:tcPr>
            <w:tcW w:w="657" w:type="dxa"/>
            <w:shd w:val="clear" w:color="auto" w:fill="auto"/>
            <w:vAlign w:val="center"/>
          </w:tcPr>
          <w:p w14:paraId="61542E35" w14:textId="77777777" w:rsidR="007A5DA1" w:rsidRPr="00AF18A2" w:rsidRDefault="007A5DA1" w:rsidP="00AF18A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57D83DD" w14:textId="77777777" w:rsidR="007A5DA1" w:rsidRPr="00AF18A2" w:rsidRDefault="007A5DA1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6B38A29A" w14:textId="76E13436" w:rsidR="007A5DA1" w:rsidRPr="00AF18A2" w:rsidRDefault="00D03113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 xml:space="preserve">Are you planning to </w:t>
            </w:r>
            <w:r w:rsidR="00F83953" w:rsidRPr="00AF18A2">
              <w:rPr>
                <w:rFonts w:ascii="Arial" w:hAnsi="Arial" w:cs="Arial"/>
                <w:lang w:val="en-CA"/>
              </w:rPr>
              <w:t xml:space="preserve">withdraw </w:t>
            </w:r>
            <w:r w:rsidR="00CB18D3" w:rsidRPr="00AF18A2">
              <w:rPr>
                <w:rFonts w:ascii="Arial" w:hAnsi="Arial" w:cs="Arial"/>
                <w:lang w:val="en-CA"/>
              </w:rPr>
              <w:t>an existing policy</w:t>
            </w:r>
            <w:r w:rsidR="00C43AA0" w:rsidRPr="00AF18A2">
              <w:rPr>
                <w:rFonts w:ascii="Arial" w:hAnsi="Arial" w:cs="Arial"/>
                <w:lang w:val="en-CA"/>
              </w:rPr>
              <w:t xml:space="preserve">, reinstate a </w:t>
            </w:r>
            <w:r w:rsidR="00B178D6" w:rsidRPr="00AF18A2">
              <w:rPr>
                <w:rFonts w:ascii="Arial" w:hAnsi="Arial" w:cs="Arial"/>
                <w:lang w:val="en-CA"/>
              </w:rPr>
              <w:t xml:space="preserve">previously </w:t>
            </w:r>
            <w:r w:rsidR="00C43AA0" w:rsidRPr="00AF18A2">
              <w:rPr>
                <w:rFonts w:ascii="Arial" w:hAnsi="Arial" w:cs="Arial"/>
                <w:lang w:val="en-CA"/>
              </w:rPr>
              <w:t>withdrawn policy</w:t>
            </w:r>
            <w:r w:rsidR="00CB18D3" w:rsidRPr="00AF18A2">
              <w:rPr>
                <w:rFonts w:ascii="Arial" w:hAnsi="Arial" w:cs="Arial"/>
                <w:lang w:val="en-CA"/>
              </w:rPr>
              <w:t xml:space="preserve"> </w:t>
            </w:r>
            <w:r w:rsidR="00F83953" w:rsidRPr="00AF18A2">
              <w:rPr>
                <w:rFonts w:ascii="Arial" w:hAnsi="Arial" w:cs="Arial"/>
                <w:lang w:val="en-CA"/>
              </w:rPr>
              <w:t xml:space="preserve">or implement a </w:t>
            </w:r>
            <w:r w:rsidR="00CB18D3" w:rsidRPr="00AF18A2">
              <w:rPr>
                <w:rFonts w:ascii="Arial" w:hAnsi="Arial" w:cs="Arial"/>
                <w:lang w:val="en-CA"/>
              </w:rPr>
              <w:t xml:space="preserve">policy for the first time </w:t>
            </w:r>
            <w:r w:rsidR="00E7212B" w:rsidRPr="00AF18A2">
              <w:rPr>
                <w:rFonts w:ascii="Arial" w:hAnsi="Arial" w:cs="Arial"/>
                <w:lang w:val="en-CA"/>
              </w:rPr>
              <w:t xml:space="preserve">because of changes to the employee headcount </w:t>
            </w:r>
            <w:r w:rsidR="00F83953" w:rsidRPr="00AF18A2">
              <w:rPr>
                <w:rFonts w:ascii="Arial" w:hAnsi="Arial" w:cs="Arial"/>
                <w:lang w:val="en-CA"/>
              </w:rPr>
              <w:t xml:space="preserve">after January 1 of a calendar year? </w:t>
            </w:r>
          </w:p>
          <w:p w14:paraId="76C2EEBE" w14:textId="77777777" w:rsidR="007A5DA1" w:rsidRPr="00AF18A2" w:rsidRDefault="007A5DA1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</w:p>
          <w:p w14:paraId="6F31552E" w14:textId="4E62950F" w:rsidR="007A5DA1" w:rsidRPr="00AF18A2" w:rsidRDefault="00E7212B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If “Yes</w:t>
            </w:r>
            <w:r w:rsidR="002727E8">
              <w:rPr>
                <w:rFonts w:ascii="Arial" w:hAnsi="Arial" w:cs="Arial"/>
                <w:lang w:val="en-CA"/>
              </w:rPr>
              <w:t>,</w:t>
            </w:r>
            <w:r w:rsidRPr="00AF18A2">
              <w:rPr>
                <w:rFonts w:ascii="Arial" w:hAnsi="Arial" w:cs="Arial"/>
                <w:lang w:val="en-CA"/>
              </w:rPr>
              <w:t xml:space="preserve">” </w:t>
            </w:r>
            <w:r w:rsidR="00CB18D3" w:rsidRPr="00AF18A2">
              <w:rPr>
                <w:rFonts w:ascii="Arial" w:hAnsi="Arial" w:cs="Arial"/>
                <w:lang w:val="en-CA"/>
              </w:rPr>
              <w:t xml:space="preserve">assess whether </w:t>
            </w:r>
            <w:r w:rsidR="00D03113" w:rsidRPr="00AF18A2">
              <w:rPr>
                <w:rFonts w:ascii="Arial" w:hAnsi="Arial" w:cs="Arial"/>
                <w:lang w:val="en-CA"/>
              </w:rPr>
              <w:t>implementation</w:t>
            </w:r>
            <w:r w:rsidR="00C43AA0" w:rsidRPr="00AF18A2">
              <w:rPr>
                <w:rFonts w:ascii="Arial" w:hAnsi="Arial" w:cs="Arial"/>
                <w:lang w:val="en-CA"/>
              </w:rPr>
              <w:t xml:space="preserve">, reinstatement or </w:t>
            </w:r>
            <w:r w:rsidR="00D03113" w:rsidRPr="00AF18A2">
              <w:rPr>
                <w:rFonts w:ascii="Arial" w:hAnsi="Arial" w:cs="Arial"/>
                <w:lang w:val="en-CA"/>
              </w:rPr>
              <w:t>withdrawal</w:t>
            </w:r>
            <w:r w:rsidR="006B4976" w:rsidRPr="00AF18A2">
              <w:rPr>
                <w:rFonts w:ascii="Arial" w:hAnsi="Arial" w:cs="Arial"/>
                <w:lang w:val="en-CA"/>
              </w:rPr>
              <w:t xml:space="preserve"> of </w:t>
            </w:r>
            <w:r w:rsidR="00C43AA0" w:rsidRPr="00AF18A2">
              <w:rPr>
                <w:rFonts w:ascii="Arial" w:hAnsi="Arial" w:cs="Arial"/>
                <w:lang w:val="en-CA"/>
              </w:rPr>
              <w:t xml:space="preserve">the </w:t>
            </w:r>
            <w:r w:rsidR="00D03113" w:rsidRPr="00AF18A2">
              <w:rPr>
                <w:rFonts w:ascii="Arial" w:hAnsi="Arial" w:cs="Arial"/>
                <w:lang w:val="en-CA"/>
              </w:rPr>
              <w:t xml:space="preserve">policy </w:t>
            </w:r>
            <w:r w:rsidR="00CB18D3" w:rsidRPr="00AF18A2">
              <w:rPr>
                <w:rFonts w:ascii="Arial" w:hAnsi="Arial" w:cs="Arial"/>
                <w:lang w:val="en-CA"/>
              </w:rPr>
              <w:t xml:space="preserve">is </w:t>
            </w:r>
            <w:r w:rsidR="00D03113" w:rsidRPr="00AF18A2">
              <w:rPr>
                <w:rFonts w:ascii="Arial" w:hAnsi="Arial" w:cs="Arial"/>
                <w:lang w:val="en-CA"/>
              </w:rPr>
              <w:t>necessary</w:t>
            </w:r>
            <w:r w:rsidR="006B4976" w:rsidRPr="00AF18A2">
              <w:rPr>
                <w:rFonts w:ascii="Arial" w:hAnsi="Arial" w:cs="Arial"/>
                <w:lang w:val="en-CA"/>
              </w:rPr>
              <w:t xml:space="preserve"> under the ESA</w:t>
            </w:r>
            <w:r w:rsidR="00D03113" w:rsidRPr="00AF18A2">
              <w:rPr>
                <w:rFonts w:ascii="Arial" w:hAnsi="Arial" w:cs="Arial"/>
                <w:lang w:val="en-CA"/>
              </w:rPr>
              <w:t xml:space="preserve">. </w:t>
            </w:r>
            <w:r w:rsidRPr="00AF18A2">
              <w:rPr>
                <w:rFonts w:ascii="Arial" w:hAnsi="Arial" w:cs="Arial"/>
                <w:lang w:val="en-CA"/>
              </w:rPr>
              <w:t xml:space="preserve">The relevant date </w:t>
            </w:r>
            <w:r w:rsidR="00D03113" w:rsidRPr="00AF18A2">
              <w:rPr>
                <w:rFonts w:ascii="Arial" w:hAnsi="Arial" w:cs="Arial"/>
                <w:lang w:val="en-CA"/>
              </w:rPr>
              <w:t xml:space="preserve">to </w:t>
            </w:r>
            <w:r w:rsidR="008C310E" w:rsidRPr="00AF18A2">
              <w:rPr>
                <w:rFonts w:ascii="Arial" w:hAnsi="Arial" w:cs="Arial"/>
                <w:lang w:val="en-CA"/>
              </w:rPr>
              <w:t xml:space="preserve">determine whether the ESA requires the organization to have a policy </w:t>
            </w:r>
            <w:r w:rsidRPr="00AF18A2">
              <w:rPr>
                <w:rFonts w:ascii="Arial" w:hAnsi="Arial" w:cs="Arial"/>
                <w:lang w:val="en-CA"/>
              </w:rPr>
              <w:t>is January 1—no other date</w:t>
            </w:r>
            <w:r w:rsidR="00B60D14" w:rsidRPr="00AF18A2">
              <w:rPr>
                <w:rFonts w:ascii="Arial" w:hAnsi="Arial" w:cs="Arial"/>
                <w:lang w:val="en-CA"/>
              </w:rPr>
              <w:t xml:space="preserve"> during the calendar year</w:t>
            </w:r>
            <w:r w:rsidRPr="00AF18A2">
              <w:rPr>
                <w:rFonts w:ascii="Arial" w:hAnsi="Arial" w:cs="Arial"/>
                <w:lang w:val="en-CA"/>
              </w:rPr>
              <w:t>.</w:t>
            </w:r>
            <w:r w:rsidR="000A2B4D" w:rsidRPr="00AF18A2">
              <w:rPr>
                <w:rFonts w:ascii="Arial" w:hAnsi="Arial" w:cs="Arial"/>
                <w:lang w:val="en-CA"/>
              </w:rPr>
              <w:t xml:space="preserve"> </w:t>
            </w:r>
            <w:r w:rsidR="00CB18D3" w:rsidRPr="00AF18A2">
              <w:rPr>
                <w:rFonts w:ascii="Arial" w:hAnsi="Arial" w:cs="Arial"/>
                <w:lang w:val="en-CA"/>
              </w:rPr>
              <w:t xml:space="preserve">If that </w:t>
            </w:r>
            <w:r w:rsidR="008C310E" w:rsidRPr="00AF18A2">
              <w:rPr>
                <w:rFonts w:ascii="Arial" w:hAnsi="Arial" w:cs="Arial"/>
                <w:lang w:val="en-CA"/>
              </w:rPr>
              <w:t xml:space="preserve">determination was performed accurately, </w:t>
            </w:r>
            <w:r w:rsidR="00CB18D3" w:rsidRPr="00AF18A2">
              <w:rPr>
                <w:rFonts w:ascii="Arial" w:hAnsi="Arial" w:cs="Arial"/>
                <w:lang w:val="en-CA"/>
              </w:rPr>
              <w:t xml:space="preserve">there is no </w:t>
            </w:r>
            <w:r w:rsidR="008C310E" w:rsidRPr="00AF18A2">
              <w:rPr>
                <w:rFonts w:ascii="Arial" w:hAnsi="Arial" w:cs="Arial"/>
                <w:lang w:val="en-CA"/>
              </w:rPr>
              <w:t>ESA requirement to change a</w:t>
            </w:r>
            <w:r w:rsidR="00CB18D3" w:rsidRPr="00AF18A2">
              <w:rPr>
                <w:rFonts w:ascii="Arial" w:hAnsi="Arial" w:cs="Arial"/>
                <w:lang w:val="en-CA"/>
              </w:rPr>
              <w:t xml:space="preserve"> decision made on January 1 to </w:t>
            </w:r>
            <w:r w:rsidR="008C310E" w:rsidRPr="00AF18A2">
              <w:rPr>
                <w:rFonts w:ascii="Arial" w:hAnsi="Arial" w:cs="Arial"/>
                <w:lang w:val="en-CA"/>
              </w:rPr>
              <w:t xml:space="preserve">implement, reinstate or </w:t>
            </w:r>
            <w:r w:rsidR="00CB18D3" w:rsidRPr="00AF18A2">
              <w:rPr>
                <w:rFonts w:ascii="Arial" w:hAnsi="Arial" w:cs="Arial"/>
                <w:lang w:val="en-CA"/>
              </w:rPr>
              <w:t>withdraw a policy, even if the headcount changes thereafter.</w:t>
            </w:r>
          </w:p>
          <w:p w14:paraId="64DC76EB" w14:textId="78CB0B74" w:rsidR="00006A41" w:rsidRPr="00AF18A2" w:rsidRDefault="00006A41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</w:p>
          <w:p w14:paraId="5D43C5C7" w14:textId="36FD45D4" w:rsidR="00E7212B" w:rsidRPr="00AF18A2" w:rsidRDefault="003A3C35" w:rsidP="00AF18A2">
            <w:pPr>
              <w:pStyle w:val="FAPPIntroPara"/>
              <w:ind w:left="0"/>
              <w:rPr>
                <w:rFonts w:ascii="Arial" w:hAnsi="Arial" w:cs="Arial"/>
                <w:lang w:val="en-CA"/>
              </w:rPr>
            </w:pPr>
            <w:r w:rsidRPr="00AF18A2">
              <w:rPr>
                <w:rFonts w:ascii="Arial" w:hAnsi="Arial" w:cs="Arial"/>
                <w:lang w:val="en-CA"/>
              </w:rPr>
              <w:t>E</w:t>
            </w:r>
            <w:r w:rsidR="00006A41" w:rsidRPr="00AF18A2">
              <w:rPr>
                <w:rFonts w:ascii="Arial" w:hAnsi="Arial" w:cs="Arial"/>
                <w:lang w:val="en-CA"/>
              </w:rPr>
              <w:t xml:space="preserve">ven if there is no </w:t>
            </w:r>
            <w:r w:rsidR="00BD1550" w:rsidRPr="00AF18A2">
              <w:rPr>
                <w:rFonts w:ascii="Arial" w:hAnsi="Arial" w:cs="Arial"/>
                <w:lang w:val="en-CA"/>
              </w:rPr>
              <w:t>requirement</w:t>
            </w:r>
            <w:r w:rsidR="00006A41" w:rsidRPr="00AF18A2">
              <w:rPr>
                <w:rFonts w:ascii="Arial" w:hAnsi="Arial" w:cs="Arial"/>
                <w:lang w:val="en-CA"/>
              </w:rPr>
              <w:t xml:space="preserve"> to </w:t>
            </w:r>
            <w:r w:rsidR="00BD1550" w:rsidRPr="00AF18A2">
              <w:rPr>
                <w:rFonts w:ascii="Arial" w:hAnsi="Arial" w:cs="Arial"/>
                <w:lang w:val="en-CA"/>
              </w:rPr>
              <w:t xml:space="preserve">have a </w:t>
            </w:r>
            <w:r w:rsidR="00006A41" w:rsidRPr="00AF18A2">
              <w:rPr>
                <w:rFonts w:ascii="Arial" w:hAnsi="Arial" w:cs="Arial"/>
                <w:lang w:val="en-CA"/>
              </w:rPr>
              <w:t xml:space="preserve">policy under the ESA, </w:t>
            </w:r>
            <w:r w:rsidR="00BD1550" w:rsidRPr="00AF18A2">
              <w:rPr>
                <w:rFonts w:ascii="Arial" w:hAnsi="Arial" w:cs="Arial"/>
                <w:lang w:val="en-CA"/>
              </w:rPr>
              <w:t xml:space="preserve">the organization may prefer to have the policy </w:t>
            </w:r>
            <w:r w:rsidR="00006A41" w:rsidRPr="00AF18A2">
              <w:rPr>
                <w:rFonts w:ascii="Arial" w:hAnsi="Arial" w:cs="Arial"/>
                <w:lang w:val="en-CA"/>
              </w:rPr>
              <w:t xml:space="preserve">as a best practice.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75DBB" w14:textId="77777777" w:rsidR="007A5DA1" w:rsidRPr="00AF18A2" w:rsidRDefault="007A5DA1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A5DA1" w:rsidRPr="00AF18A2" w14:paraId="05D435C9" w14:textId="77777777" w:rsidTr="00AF18A2">
        <w:trPr>
          <w:cantSplit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4FC64578" w14:textId="44A2BBE0" w:rsidR="007A5DA1" w:rsidRPr="00AF18A2" w:rsidRDefault="007A5DA1" w:rsidP="00AF18A2">
            <w:pPr>
              <w:pStyle w:val="Heading1"/>
              <w:spacing w:before="0" w:after="0"/>
              <w:jc w:val="center"/>
              <w:rPr>
                <w:rFonts w:eastAsia="Calibri"/>
                <w:sz w:val="24"/>
                <w:szCs w:val="24"/>
                <w:lang w:val="en-CA"/>
              </w:rPr>
            </w:pPr>
            <w:bookmarkStart w:id="5" w:name="_Toc97611788"/>
            <w:r w:rsidRPr="00AF18A2">
              <w:rPr>
                <w:sz w:val="24"/>
                <w:szCs w:val="24"/>
                <w:lang w:val="en-CA"/>
              </w:rPr>
              <w:t>Document Retention</w:t>
            </w:r>
            <w:bookmarkEnd w:id="5"/>
            <w:r w:rsidRPr="00AF18A2">
              <w:rPr>
                <w:sz w:val="24"/>
                <w:szCs w:val="24"/>
                <w:lang w:val="en-CA"/>
              </w:rPr>
              <w:t xml:space="preserve"> </w:t>
            </w:r>
          </w:p>
          <w:p w14:paraId="0463DAF9" w14:textId="24297D6C" w:rsidR="007A5DA1" w:rsidRPr="00AF18A2" w:rsidRDefault="007A5DA1" w:rsidP="00AF18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18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(A “No” answer </w:t>
            </w:r>
            <w:r w:rsidR="000A15F7" w:rsidRPr="00AF18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may indicate </w:t>
            </w:r>
            <w:r w:rsidRPr="00AF18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non-compliance)</w:t>
            </w:r>
          </w:p>
        </w:tc>
      </w:tr>
      <w:tr w:rsidR="007A5DA1" w:rsidRPr="00AF18A2" w14:paraId="265F8C24" w14:textId="77777777" w:rsidTr="00AF18A2">
        <w:trPr>
          <w:cantSplit/>
        </w:trPr>
        <w:tc>
          <w:tcPr>
            <w:tcW w:w="657" w:type="dxa"/>
            <w:shd w:val="clear" w:color="auto" w:fill="auto"/>
            <w:vAlign w:val="center"/>
          </w:tcPr>
          <w:p w14:paraId="392023C1" w14:textId="77777777" w:rsidR="007A5DA1" w:rsidRPr="00AF18A2" w:rsidRDefault="007A5DA1" w:rsidP="00AF18A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10884BF" w14:textId="77777777" w:rsidR="007A5DA1" w:rsidRPr="00AF18A2" w:rsidRDefault="007A5DA1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2C5FFC47" w14:textId="2D6CA6A4" w:rsidR="007A5DA1" w:rsidRPr="00AF18A2" w:rsidRDefault="007A5DA1" w:rsidP="00AF18A2">
            <w:pPr>
              <w:pStyle w:val="FAPPIntroPara"/>
              <w:ind w:left="0"/>
              <w:rPr>
                <w:rFonts w:eastAsia="Calibri"/>
              </w:rPr>
            </w:pPr>
            <w:r w:rsidRPr="00AF18A2">
              <w:rPr>
                <w:rFonts w:ascii="Arial" w:hAnsi="Arial" w:cs="Arial"/>
                <w:lang w:val="en-CA"/>
              </w:rPr>
              <w:t>Ha</w:t>
            </w:r>
            <w:r w:rsidR="00CB18D3" w:rsidRPr="00AF18A2">
              <w:rPr>
                <w:rFonts w:ascii="Arial" w:hAnsi="Arial" w:cs="Arial"/>
                <w:lang w:val="en-CA"/>
              </w:rPr>
              <w:t>ve you ret</w:t>
            </w:r>
            <w:r w:rsidRPr="00AF18A2">
              <w:rPr>
                <w:rFonts w:ascii="Arial" w:hAnsi="Arial" w:cs="Arial"/>
                <w:lang w:val="en-CA"/>
              </w:rPr>
              <w:t>ained</w:t>
            </w:r>
            <w:r w:rsidR="009A3C6C" w:rsidRPr="00AF18A2">
              <w:rPr>
                <w:rFonts w:ascii="Arial" w:hAnsi="Arial" w:cs="Arial"/>
                <w:lang w:val="en-CA"/>
              </w:rPr>
              <w:t xml:space="preserve"> a copy of</w:t>
            </w:r>
            <w:r w:rsidRPr="00AF18A2">
              <w:rPr>
                <w:rFonts w:ascii="Arial" w:hAnsi="Arial" w:cs="Arial"/>
                <w:lang w:val="en-CA"/>
              </w:rPr>
              <w:t xml:space="preserve"> </w:t>
            </w:r>
            <w:r w:rsidR="00CB18D3" w:rsidRPr="00AF18A2">
              <w:rPr>
                <w:rFonts w:ascii="Arial" w:hAnsi="Arial" w:cs="Arial"/>
                <w:lang w:val="en-CA"/>
              </w:rPr>
              <w:t xml:space="preserve">the </w:t>
            </w:r>
            <w:r w:rsidRPr="00AF18A2">
              <w:rPr>
                <w:rFonts w:ascii="Arial" w:hAnsi="Arial" w:cs="Arial"/>
                <w:lang w:val="en-CA"/>
              </w:rPr>
              <w:t>disconnecting from work polic</w:t>
            </w:r>
            <w:r w:rsidR="009A3C6C" w:rsidRPr="00AF18A2">
              <w:rPr>
                <w:rFonts w:ascii="Arial" w:hAnsi="Arial" w:cs="Arial"/>
                <w:lang w:val="en-CA"/>
              </w:rPr>
              <w:t>y</w:t>
            </w:r>
            <w:r w:rsidRPr="00AF18A2">
              <w:rPr>
                <w:rFonts w:ascii="Arial" w:hAnsi="Arial" w:cs="Arial"/>
                <w:lang w:val="en-CA"/>
              </w:rPr>
              <w:t xml:space="preserve"> for at least three years after the polic</w:t>
            </w:r>
            <w:r w:rsidR="009A3C6C" w:rsidRPr="00AF18A2">
              <w:rPr>
                <w:rFonts w:ascii="Arial" w:hAnsi="Arial" w:cs="Arial"/>
                <w:lang w:val="en-CA"/>
              </w:rPr>
              <w:t xml:space="preserve">y is </w:t>
            </w:r>
            <w:r w:rsidRPr="00AF18A2">
              <w:rPr>
                <w:rFonts w:ascii="Arial" w:hAnsi="Arial" w:cs="Arial"/>
                <w:lang w:val="en-CA"/>
              </w:rPr>
              <w:t>no longer in effect?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E0129" w14:textId="77777777" w:rsidR="007A5DA1" w:rsidRPr="00AF18A2" w:rsidRDefault="007A5DA1" w:rsidP="00AF18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D999A9B" w14:textId="4AA0CE43" w:rsidR="005C327A" w:rsidRDefault="005C327A" w:rsidP="00455475">
      <w:pPr>
        <w:pStyle w:val="PolicyParawithNumber"/>
      </w:pPr>
    </w:p>
    <w:sectPr w:rsidR="005C327A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DBEB" w14:textId="77777777" w:rsidR="00651FA2" w:rsidRDefault="00651FA2" w:rsidP="00B00AB2">
      <w:pPr>
        <w:spacing w:after="0" w:line="240" w:lineRule="auto"/>
      </w:pPr>
      <w:r>
        <w:separator/>
      </w:r>
    </w:p>
  </w:endnote>
  <w:endnote w:type="continuationSeparator" w:id="0">
    <w:p w14:paraId="086E0E69" w14:textId="77777777" w:rsidR="00651FA2" w:rsidRDefault="00651FA2" w:rsidP="00B0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Gourmand">
    <w:altName w:val="Cambria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253F" w14:textId="34F3811E" w:rsidR="00B00AB2" w:rsidRDefault="00B00AB2" w:rsidP="00AF18A2">
    <w:pPr>
      <w:pStyle w:val="Footer"/>
    </w:pPr>
  </w:p>
  <w:p w14:paraId="7DB2EF0E" w14:textId="77777777" w:rsidR="00B00AB2" w:rsidRDefault="00B00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168B" w14:textId="77777777" w:rsidR="00651FA2" w:rsidRDefault="00651FA2" w:rsidP="00B00AB2">
      <w:pPr>
        <w:spacing w:after="0" w:line="240" w:lineRule="auto"/>
      </w:pPr>
      <w:r>
        <w:separator/>
      </w:r>
    </w:p>
  </w:footnote>
  <w:footnote w:type="continuationSeparator" w:id="0">
    <w:p w14:paraId="04E38F3D" w14:textId="77777777" w:rsidR="00651FA2" w:rsidRDefault="00651FA2" w:rsidP="00B0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4818"/>
    <w:multiLevelType w:val="hybridMultilevel"/>
    <w:tmpl w:val="654217B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3FDE"/>
    <w:multiLevelType w:val="hybridMultilevel"/>
    <w:tmpl w:val="FFC842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22818"/>
    <w:multiLevelType w:val="hybridMultilevel"/>
    <w:tmpl w:val="D8EA48E4"/>
    <w:lvl w:ilvl="0" w:tplc="10090017">
      <w:start w:val="1"/>
      <w:numFmt w:val="lowerLetter"/>
      <w:lvlText w:val="%1)"/>
      <w:lvlJc w:val="left"/>
      <w:pPr>
        <w:ind w:left="0"/>
      </w:p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66F7592E"/>
    <w:multiLevelType w:val="hybridMultilevel"/>
    <w:tmpl w:val="D8EA48E4"/>
    <w:lvl w:ilvl="0" w:tplc="FFFFFFFF">
      <w:start w:val="1"/>
      <w:numFmt w:val="lowerLetter"/>
      <w:lvlText w:val="%1)"/>
      <w:lvlJc w:val="left"/>
      <w:pPr>
        <w:ind w:left="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zMTM2NTA0NDQyNTRR0lEKTi0uzszPAykwrgUA6Vu4vywAAAA="/>
  </w:docVars>
  <w:rsids>
    <w:rsidRoot w:val="00747F44"/>
    <w:rsid w:val="00006A41"/>
    <w:rsid w:val="000A15F7"/>
    <w:rsid w:val="000A2B4D"/>
    <w:rsid w:val="000B4A4A"/>
    <w:rsid w:val="000C0039"/>
    <w:rsid w:val="000F1727"/>
    <w:rsid w:val="000F41AA"/>
    <w:rsid w:val="00107B99"/>
    <w:rsid w:val="0011413C"/>
    <w:rsid w:val="001750DF"/>
    <w:rsid w:val="001D046D"/>
    <w:rsid w:val="001D2D5D"/>
    <w:rsid w:val="002078D5"/>
    <w:rsid w:val="00224902"/>
    <w:rsid w:val="002259FA"/>
    <w:rsid w:val="00230C21"/>
    <w:rsid w:val="00253945"/>
    <w:rsid w:val="00256356"/>
    <w:rsid w:val="002727E8"/>
    <w:rsid w:val="002847E2"/>
    <w:rsid w:val="002A2CDD"/>
    <w:rsid w:val="002A55D8"/>
    <w:rsid w:val="002C27D2"/>
    <w:rsid w:val="002E5E35"/>
    <w:rsid w:val="00337A77"/>
    <w:rsid w:val="00361036"/>
    <w:rsid w:val="00381AF2"/>
    <w:rsid w:val="003A3C35"/>
    <w:rsid w:val="003C4B5A"/>
    <w:rsid w:val="003E7045"/>
    <w:rsid w:val="0040318E"/>
    <w:rsid w:val="00413F19"/>
    <w:rsid w:val="0043173E"/>
    <w:rsid w:val="00435F52"/>
    <w:rsid w:val="00443A6C"/>
    <w:rsid w:val="00455475"/>
    <w:rsid w:val="00457D03"/>
    <w:rsid w:val="00495EF9"/>
    <w:rsid w:val="004A34E8"/>
    <w:rsid w:val="004D5274"/>
    <w:rsid w:val="004E64E3"/>
    <w:rsid w:val="005518EA"/>
    <w:rsid w:val="005C327A"/>
    <w:rsid w:val="00625CC3"/>
    <w:rsid w:val="00644A4B"/>
    <w:rsid w:val="00651272"/>
    <w:rsid w:val="00651FA2"/>
    <w:rsid w:val="00677950"/>
    <w:rsid w:val="006B4976"/>
    <w:rsid w:val="00717483"/>
    <w:rsid w:val="00724700"/>
    <w:rsid w:val="007309FF"/>
    <w:rsid w:val="00734828"/>
    <w:rsid w:val="007373ED"/>
    <w:rsid w:val="00747F44"/>
    <w:rsid w:val="00792862"/>
    <w:rsid w:val="00795697"/>
    <w:rsid w:val="007A5DA1"/>
    <w:rsid w:val="007B6B5C"/>
    <w:rsid w:val="007C07FD"/>
    <w:rsid w:val="007D02EE"/>
    <w:rsid w:val="007D1F43"/>
    <w:rsid w:val="007F05FB"/>
    <w:rsid w:val="008109F5"/>
    <w:rsid w:val="00814265"/>
    <w:rsid w:val="0084206E"/>
    <w:rsid w:val="00845E30"/>
    <w:rsid w:val="008724B7"/>
    <w:rsid w:val="008769C7"/>
    <w:rsid w:val="008C310E"/>
    <w:rsid w:val="008F1416"/>
    <w:rsid w:val="009216F3"/>
    <w:rsid w:val="0094648C"/>
    <w:rsid w:val="00947DF8"/>
    <w:rsid w:val="009602B3"/>
    <w:rsid w:val="009A3C6C"/>
    <w:rsid w:val="009B2AE6"/>
    <w:rsid w:val="009C0B70"/>
    <w:rsid w:val="009C215E"/>
    <w:rsid w:val="009D1D98"/>
    <w:rsid w:val="009E40D2"/>
    <w:rsid w:val="00A06FFF"/>
    <w:rsid w:val="00A14FD7"/>
    <w:rsid w:val="00A31851"/>
    <w:rsid w:val="00A902DA"/>
    <w:rsid w:val="00AD0F80"/>
    <w:rsid w:val="00AF18A2"/>
    <w:rsid w:val="00AF4E78"/>
    <w:rsid w:val="00B00AB2"/>
    <w:rsid w:val="00B178D6"/>
    <w:rsid w:val="00B513BF"/>
    <w:rsid w:val="00B60D14"/>
    <w:rsid w:val="00B64088"/>
    <w:rsid w:val="00B84102"/>
    <w:rsid w:val="00B95745"/>
    <w:rsid w:val="00BA25C0"/>
    <w:rsid w:val="00BC7E1F"/>
    <w:rsid w:val="00BD1550"/>
    <w:rsid w:val="00BE0537"/>
    <w:rsid w:val="00BE504C"/>
    <w:rsid w:val="00C02336"/>
    <w:rsid w:val="00C07C86"/>
    <w:rsid w:val="00C2054E"/>
    <w:rsid w:val="00C43AA0"/>
    <w:rsid w:val="00C66D00"/>
    <w:rsid w:val="00C74255"/>
    <w:rsid w:val="00C76480"/>
    <w:rsid w:val="00CB18D3"/>
    <w:rsid w:val="00CD4959"/>
    <w:rsid w:val="00CE213F"/>
    <w:rsid w:val="00D03113"/>
    <w:rsid w:val="00D212F7"/>
    <w:rsid w:val="00D22AF6"/>
    <w:rsid w:val="00D26309"/>
    <w:rsid w:val="00D64F78"/>
    <w:rsid w:val="00D672D5"/>
    <w:rsid w:val="00D75ACA"/>
    <w:rsid w:val="00D76881"/>
    <w:rsid w:val="00D87C6A"/>
    <w:rsid w:val="00DA3D90"/>
    <w:rsid w:val="00DA4A0E"/>
    <w:rsid w:val="00DB3A32"/>
    <w:rsid w:val="00DD1666"/>
    <w:rsid w:val="00DF2FCD"/>
    <w:rsid w:val="00E06CC8"/>
    <w:rsid w:val="00E31F49"/>
    <w:rsid w:val="00E70EB5"/>
    <w:rsid w:val="00E7212B"/>
    <w:rsid w:val="00E769D6"/>
    <w:rsid w:val="00ED4B29"/>
    <w:rsid w:val="00F023F1"/>
    <w:rsid w:val="00F05F4A"/>
    <w:rsid w:val="00F11A19"/>
    <w:rsid w:val="00F209C8"/>
    <w:rsid w:val="00F24BC4"/>
    <w:rsid w:val="00F361FD"/>
    <w:rsid w:val="00F474C9"/>
    <w:rsid w:val="00F47795"/>
    <w:rsid w:val="00F83953"/>
    <w:rsid w:val="00F86478"/>
    <w:rsid w:val="00F92754"/>
    <w:rsid w:val="00FD36A4"/>
    <w:rsid w:val="00FD5FEC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D8CA"/>
  <w15:docId w15:val="{4CF5D88C-F618-4739-947B-70F95F67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4554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ParawithNumber">
    <w:name w:val="Policy Para with Number"/>
    <w:basedOn w:val="Normal"/>
    <w:rsid w:val="009D1D98"/>
    <w:pPr>
      <w:widowControl w:val="0"/>
      <w:tabs>
        <w:tab w:val="left" w:pos="-1080"/>
        <w:tab w:val="left" w:pos="-720"/>
        <w:tab w:val="left" w:pos="18"/>
        <w:tab w:val="left" w:pos="900"/>
        <w:tab w:val="left" w:pos="1260"/>
        <w:tab w:val="left" w:pos="1710"/>
        <w:tab w:val="left" w:pos="2880"/>
      </w:tabs>
      <w:autoSpaceDE w:val="0"/>
      <w:autoSpaceDN w:val="0"/>
      <w:adjustRightInd w:val="0"/>
      <w:spacing w:before="60" w:after="0" w:line="240" w:lineRule="auto"/>
      <w:ind w:left="907" w:hanging="907"/>
    </w:pPr>
    <w:rPr>
      <w:rFonts w:ascii="Arial" w:eastAsia="Times New Roman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947DF8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45547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customStyle="1" w:styleId="PolicyHead1">
    <w:name w:val="Policy_Head 1"/>
    <w:basedOn w:val="Heading1"/>
    <w:rsid w:val="00455475"/>
    <w:pPr>
      <w:widowControl w:val="0"/>
      <w:tabs>
        <w:tab w:val="left" w:pos="-1080"/>
        <w:tab w:val="left" w:pos="-720"/>
        <w:tab w:val="left" w:pos="18"/>
        <w:tab w:val="left" w:pos="900"/>
        <w:tab w:val="left" w:pos="1260"/>
        <w:tab w:val="left" w:pos="1710"/>
        <w:tab w:val="left" w:pos="2880"/>
      </w:tabs>
      <w:autoSpaceDE w:val="0"/>
      <w:autoSpaceDN w:val="0"/>
      <w:adjustRightInd w:val="0"/>
      <w:spacing w:before="0" w:after="0"/>
    </w:pPr>
    <w:rPr>
      <w:kern w:val="0"/>
      <w:sz w:val="22"/>
      <w:szCs w:val="20"/>
      <w:lang w:val="en-GB"/>
    </w:rPr>
  </w:style>
  <w:style w:type="paragraph" w:customStyle="1" w:styleId="FAPPIntroPara">
    <w:name w:val="FAPP_Intro_Para"/>
    <w:basedOn w:val="Normal"/>
    <w:link w:val="FAPPIntroParaChar"/>
    <w:rsid w:val="0045547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GoudyOlSt BT" w:eastAsia="Times New Roman" w:hAnsi="GoudyOlSt BT" w:cs="Times New Roman"/>
      <w:sz w:val="24"/>
      <w:szCs w:val="24"/>
    </w:rPr>
  </w:style>
  <w:style w:type="character" w:customStyle="1" w:styleId="FAPPIntroParaChar">
    <w:name w:val="FAPP_Intro_Para Char"/>
    <w:link w:val="FAPPIntroPara"/>
    <w:locked/>
    <w:rsid w:val="00455475"/>
    <w:rPr>
      <w:rFonts w:ascii="GoudyOlSt BT" w:eastAsia="Times New Roman" w:hAnsi="GoudyOlSt BT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5547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5475"/>
    <w:pPr>
      <w:tabs>
        <w:tab w:val="right" w:leader="dot" w:pos="9350"/>
      </w:tabs>
      <w:spacing w:after="100"/>
      <w:ind w:left="720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45547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0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AB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0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AB2"/>
    <w:rPr>
      <w:lang w:val="en-GB"/>
    </w:rPr>
  </w:style>
  <w:style w:type="paragraph" w:customStyle="1" w:styleId="OverviewParamainbullet">
    <w:name w:val="Overview Para main bullet"/>
    <w:basedOn w:val="Normal"/>
    <w:qFormat/>
    <w:rsid w:val="007D02EE"/>
    <w:pPr>
      <w:widowControl w:val="0"/>
      <w:tabs>
        <w:tab w:val="left" w:pos="1260"/>
      </w:tabs>
      <w:spacing w:after="0" w:line="287" w:lineRule="auto"/>
      <w:ind w:left="1260" w:hanging="540"/>
      <w:jc w:val="both"/>
    </w:pPr>
    <w:rPr>
      <w:rFonts w:ascii="Gourmand" w:eastAsia="MS Mincho" w:hAnsi="Gourmand" w:cs="Times New Roman"/>
      <w:sz w:val="24"/>
      <w:szCs w:val="2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7D02E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A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lii.ca/t/rv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9A14644-88FF-421A-8202-D0DA82BF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1149</Words>
  <Characters>6187</Characters>
  <Application>Microsoft Office Word</Application>
  <DocSecurity>4</DocSecurity>
  <Lines>121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Disconnecting from Work Checklist</dc:title>
  <dc:creator>First Reference Inc.</dc:creator>
  <cp:lastModifiedBy>SarahJane DiMichele</cp:lastModifiedBy>
  <cp:revision>2</cp:revision>
  <dcterms:created xsi:type="dcterms:W3CDTF">2022-07-08T19:26:00Z</dcterms:created>
  <dcterms:modified xsi:type="dcterms:W3CDTF">2022-07-08T19:26:00Z</dcterms:modified>
</cp:coreProperties>
</file>